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C9" w:rsidRDefault="001E1F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2105C9" w:rsidRDefault="001E1F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2105C9" w:rsidRDefault="002105C9">
      <w:pPr>
        <w:jc w:val="center"/>
        <w:rPr>
          <w:rFonts w:ascii="Bookman Old Style" w:hAnsi="Bookman Old Style"/>
          <w:b/>
        </w:rPr>
      </w:pPr>
    </w:p>
    <w:p w:rsidR="002105C9" w:rsidRDefault="001E1FD6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2105C9" w:rsidRDefault="001E1FD6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2105C9" w:rsidRDefault="002105C9">
      <w:pPr>
        <w:jc w:val="center"/>
        <w:rPr>
          <w:rFonts w:ascii="Bookman Old Style" w:hAnsi="Bookman Old Style"/>
          <w:b/>
          <w:sz w:val="32"/>
        </w:rPr>
      </w:pPr>
    </w:p>
    <w:p w:rsidR="002105C9" w:rsidRDefault="002105C9">
      <w:pPr>
        <w:jc w:val="center"/>
        <w:rPr>
          <w:rFonts w:ascii="Bookman Old Style" w:hAnsi="Bookman Old Style"/>
          <w:b/>
        </w:rPr>
      </w:pPr>
    </w:p>
    <w:p w:rsidR="002105C9" w:rsidRDefault="001E1FD6">
      <w:pPr>
        <w:jc w:val="center"/>
      </w:pPr>
      <w:r>
        <w:rPr>
          <w:rFonts w:ascii="Bookman Old Style" w:hAnsi="Bookman Old Style"/>
          <w:b/>
          <w:sz w:val="40"/>
        </w:rPr>
        <w:t>ПОСТАНОВЛЕНИЕ</w:t>
      </w:r>
    </w:p>
    <w:p w:rsidR="002105C9" w:rsidRDefault="002105C9">
      <w:pPr>
        <w:jc w:val="both"/>
      </w:pPr>
    </w:p>
    <w:p w:rsidR="002105C9" w:rsidRDefault="002105C9">
      <w:pPr>
        <w:jc w:val="both"/>
      </w:pPr>
    </w:p>
    <w:p w:rsidR="002105C9" w:rsidRDefault="001E1FD6">
      <w:pPr>
        <w:pStyle w:val="2"/>
        <w:tabs>
          <w:tab w:val="left" w:pos="576"/>
        </w:tabs>
        <w:spacing w:before="0" w:after="0"/>
        <w:rPr>
          <w:rFonts w:ascii="Times New Roman" w:hAnsi="Times New Roman"/>
          <w:i w:val="0"/>
          <w:sz w:val="24"/>
          <w:shd w:val="clear" w:color="auto" w:fill="FFD821"/>
        </w:rPr>
      </w:pPr>
      <w:r w:rsidRPr="001E1FD6">
        <w:rPr>
          <w:rFonts w:ascii="Times New Roman" w:hAnsi="Times New Roman"/>
          <w:i w:val="0"/>
          <w:sz w:val="24"/>
        </w:rPr>
        <w:t>от 12</w:t>
      </w:r>
      <w:r w:rsidRPr="001E1FD6">
        <w:rPr>
          <w:rFonts w:ascii="Times New Roman" w:hAnsi="Times New Roman"/>
          <w:i w:val="0"/>
          <w:sz w:val="24"/>
        </w:rPr>
        <w:t>.11.2021 года                                            №92</w:t>
      </w:r>
      <w:r w:rsidRPr="001E1FD6">
        <w:rPr>
          <w:rFonts w:ascii="Times New Roman" w:hAnsi="Times New Roman"/>
          <w:i w:val="0"/>
          <w:sz w:val="24"/>
        </w:rPr>
        <w:t>-па</w:t>
      </w:r>
    </w:p>
    <w:p w:rsidR="002105C9" w:rsidRDefault="001E1FD6">
      <w:pPr>
        <w:pStyle w:val="a1"/>
        <w:ind w:right="3912"/>
      </w:pPr>
      <w:r>
        <w:rPr>
          <w:b/>
        </w:rPr>
        <w:t xml:space="preserve">Методика </w:t>
      </w:r>
      <w:r>
        <w:rPr>
          <w:b/>
          <w:spacing w:val="-9"/>
        </w:rPr>
        <w:t xml:space="preserve">планирования бюджетных ассигнований </w:t>
      </w:r>
      <w:r>
        <w:rPr>
          <w:b/>
        </w:rPr>
        <w:t>муниципального образования «Нижнереутчанский сельсовет» Медвенского</w:t>
      </w:r>
      <w:r>
        <w:rPr>
          <w:b/>
        </w:rPr>
        <w:t xml:space="preserve"> района Курской области» на 2022 год и плановый период 2023и 2024 годов</w:t>
      </w:r>
    </w:p>
    <w:p w:rsidR="002105C9" w:rsidRDefault="002105C9">
      <w:pPr>
        <w:ind w:firstLine="720"/>
        <w:jc w:val="both"/>
      </w:pPr>
    </w:p>
    <w:p w:rsidR="002105C9" w:rsidRDefault="002105C9">
      <w:pPr>
        <w:ind w:firstLine="720"/>
        <w:jc w:val="both"/>
      </w:pPr>
    </w:p>
    <w:p w:rsidR="002105C9" w:rsidRDefault="001E1FD6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169 Бюджетного кодекса Российской Федерации, решения Собрания депутатов Нижнереутчанского сельсовета от 04.04.2014г. № 48/366 «О бюджетном процессе в муниц</w:t>
      </w:r>
      <w:r>
        <w:rPr>
          <w:sz w:val="28"/>
        </w:rPr>
        <w:t xml:space="preserve">ипальном образовании «Нижнереутчанский сельсовет» Медвенского района Курской области» </w:t>
      </w:r>
      <w:proofErr w:type="gramStart"/>
      <w:r w:rsidRPr="006761AC">
        <w:rPr>
          <w:sz w:val="28"/>
        </w:rPr>
        <w:t xml:space="preserve">( </w:t>
      </w:r>
      <w:proofErr w:type="gramEnd"/>
      <w:r w:rsidRPr="006761AC">
        <w:rPr>
          <w:sz w:val="28"/>
        </w:rPr>
        <w:t>в ред. от 29.04.2016 № 9/45, от 20.12.2017 №30/140, от 28.06.2019 №55/229, от 27.03.2020 №69/269, от 05.05.2021 №10/39)</w:t>
      </w:r>
      <w:r>
        <w:rPr>
          <w:sz w:val="28"/>
        </w:rPr>
        <w:t>, Администрация Нижнереутчанского сельсовета Медвенского района ПОСТАНОВЛЯЕТ:</w:t>
      </w:r>
    </w:p>
    <w:p w:rsidR="002105C9" w:rsidRDefault="001E1FD6">
      <w:pPr>
        <w:ind w:firstLine="709"/>
        <w:jc w:val="both"/>
        <w:rPr>
          <w:sz w:val="28"/>
        </w:rPr>
      </w:pPr>
      <w:r>
        <w:rPr>
          <w:sz w:val="28"/>
        </w:rPr>
        <w:t xml:space="preserve">1.Утвердить методику </w:t>
      </w:r>
      <w:r>
        <w:rPr>
          <w:sz w:val="28"/>
        </w:rPr>
        <w:t xml:space="preserve">планирования бюджетных ассигнований </w:t>
      </w:r>
      <w:r>
        <w:rPr>
          <w:sz w:val="28"/>
        </w:rPr>
        <w:t>муниципального образо</w:t>
      </w:r>
      <w:r>
        <w:rPr>
          <w:sz w:val="28"/>
        </w:rPr>
        <w:t>вания «Нижнереутчанский сельсовет» Медвенского района Курской области на 2022 год и плановый период 2023 и 2024 годов, согласно приложению № 1.</w:t>
      </w:r>
    </w:p>
    <w:p w:rsidR="002105C9" w:rsidRDefault="001E1FD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105C9" w:rsidRDefault="001E1FD6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со дня е</w:t>
      </w:r>
      <w:r>
        <w:rPr>
          <w:sz w:val="28"/>
        </w:rPr>
        <w:t>го подписания.</w:t>
      </w:r>
    </w:p>
    <w:p w:rsidR="002105C9" w:rsidRDefault="002105C9">
      <w:pPr>
        <w:ind w:firstLine="709"/>
        <w:jc w:val="both"/>
        <w:rPr>
          <w:sz w:val="28"/>
        </w:rPr>
      </w:pPr>
    </w:p>
    <w:p w:rsidR="002105C9" w:rsidRDefault="002105C9">
      <w:pPr>
        <w:ind w:firstLine="709"/>
        <w:jc w:val="both"/>
        <w:rPr>
          <w:sz w:val="28"/>
        </w:rPr>
      </w:pPr>
    </w:p>
    <w:p w:rsidR="002105C9" w:rsidRDefault="002105C9">
      <w:pPr>
        <w:ind w:firstLine="709"/>
        <w:jc w:val="both"/>
        <w:rPr>
          <w:sz w:val="28"/>
        </w:rPr>
      </w:pPr>
    </w:p>
    <w:p w:rsidR="002105C9" w:rsidRDefault="001E1FD6" w:rsidP="001E1FD6">
      <w:pPr>
        <w:tabs>
          <w:tab w:val="left" w:pos="8037"/>
        </w:tabs>
        <w:jc w:val="both"/>
        <w:rPr>
          <w:sz w:val="28"/>
        </w:rPr>
      </w:pPr>
      <w:r>
        <w:rPr>
          <w:sz w:val="28"/>
        </w:rPr>
        <w:t xml:space="preserve">Глава Нижнереутчанского сельсовета </w:t>
      </w:r>
      <w:r>
        <w:rPr>
          <w:sz w:val="28"/>
        </w:rPr>
        <w:tab/>
        <w:t>П.В.Тришин</w:t>
      </w: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1E1FD6" w:rsidRDefault="001E1FD6">
      <w:pPr>
        <w:ind w:firstLine="709"/>
        <w:jc w:val="both"/>
      </w:pPr>
    </w:p>
    <w:p w:rsidR="002105C9" w:rsidRDefault="002105C9">
      <w:pPr>
        <w:ind w:firstLine="709"/>
        <w:jc w:val="both"/>
      </w:pPr>
    </w:p>
    <w:p w:rsidR="002105C9" w:rsidRDefault="001E1FD6">
      <w:pPr>
        <w:ind w:firstLine="709"/>
        <w:jc w:val="right"/>
      </w:pPr>
      <w:r>
        <w:lastRenderedPageBreak/>
        <w:t>Приложение №1</w:t>
      </w:r>
    </w:p>
    <w:p w:rsidR="002105C9" w:rsidRDefault="001E1FD6">
      <w:pPr>
        <w:ind w:firstLine="709"/>
        <w:jc w:val="right"/>
        <w:rPr>
          <w:sz w:val="22"/>
        </w:rPr>
      </w:pPr>
      <w:r>
        <w:t>к постановлению Администрации</w:t>
      </w:r>
    </w:p>
    <w:p w:rsidR="002105C9" w:rsidRDefault="001E1FD6">
      <w:pPr>
        <w:pStyle w:val="a9"/>
        <w:spacing w:after="0"/>
        <w:ind w:firstLine="709"/>
        <w:jc w:val="right"/>
      </w:pPr>
      <w:r>
        <w:rPr>
          <w:sz w:val="22"/>
        </w:rPr>
        <w:t>Нижнереутчанского сельсовета</w:t>
      </w:r>
    </w:p>
    <w:p w:rsidR="002105C9" w:rsidRDefault="001E1FD6">
      <w:pPr>
        <w:pStyle w:val="a9"/>
        <w:spacing w:after="0"/>
        <w:ind w:firstLine="709"/>
        <w:jc w:val="right"/>
      </w:pPr>
      <w:r>
        <w:t>Медвенского района Курской области</w:t>
      </w:r>
    </w:p>
    <w:p w:rsidR="002105C9" w:rsidRDefault="001E1FD6">
      <w:pPr>
        <w:pStyle w:val="a1"/>
        <w:spacing w:after="0"/>
        <w:ind w:firstLine="709"/>
        <w:jc w:val="right"/>
      </w:pPr>
      <w:r>
        <w:t>от 12</w:t>
      </w:r>
      <w:r>
        <w:t>.11. 2021г. №92</w:t>
      </w:r>
      <w:r>
        <w:t>-па</w:t>
      </w:r>
    </w:p>
    <w:p w:rsidR="002105C9" w:rsidRDefault="002105C9">
      <w:pPr>
        <w:pStyle w:val="a1"/>
        <w:spacing w:after="0"/>
        <w:ind w:firstLine="709"/>
        <w:jc w:val="both"/>
      </w:pPr>
    </w:p>
    <w:p w:rsidR="002105C9" w:rsidRDefault="001E1FD6">
      <w:pPr>
        <w:ind w:right="8"/>
        <w:jc w:val="center"/>
        <w:rPr>
          <w:b/>
          <w:caps/>
          <w:sz w:val="28"/>
        </w:rPr>
      </w:pPr>
      <w:r>
        <w:rPr>
          <w:b/>
          <w:caps/>
          <w:sz w:val="28"/>
        </w:rPr>
        <w:t>методика</w:t>
      </w:r>
    </w:p>
    <w:p w:rsidR="002105C9" w:rsidRDefault="001E1FD6">
      <w:pPr>
        <w:ind w:right="8"/>
        <w:jc w:val="center"/>
        <w:rPr>
          <w:b/>
          <w:spacing w:val="-9"/>
          <w:sz w:val="28"/>
        </w:rPr>
      </w:pPr>
      <w:r>
        <w:rPr>
          <w:b/>
          <w:spacing w:val="-9"/>
          <w:sz w:val="28"/>
        </w:rPr>
        <w:t xml:space="preserve">планирования бюджетных ассигнований </w:t>
      </w:r>
      <w:r>
        <w:rPr>
          <w:b/>
          <w:spacing w:val="-9"/>
          <w:sz w:val="28"/>
        </w:rPr>
        <w:t xml:space="preserve">местного бюджета </w:t>
      </w:r>
    </w:p>
    <w:p w:rsidR="002105C9" w:rsidRDefault="001E1FD6">
      <w:pPr>
        <w:jc w:val="center"/>
        <w:rPr>
          <w:sz w:val="28"/>
        </w:rPr>
      </w:pPr>
      <w:r>
        <w:rPr>
          <w:b/>
          <w:sz w:val="28"/>
        </w:rPr>
        <w:t>на 2022 год и на плановый период 2023 и 2024 годов</w:t>
      </w:r>
    </w:p>
    <w:p w:rsidR="002105C9" w:rsidRDefault="002105C9">
      <w:pPr>
        <w:pStyle w:val="ConsPlusNonformat"/>
        <w:ind w:firstLine="684"/>
        <w:jc w:val="both"/>
        <w:rPr>
          <w:rFonts w:ascii="Times New Roman" w:hAnsi="Times New Roman"/>
          <w:sz w:val="28"/>
        </w:rPr>
      </w:pPr>
    </w:p>
    <w:p w:rsidR="002105C9" w:rsidRDefault="001E1FD6">
      <w:pPr>
        <w:pStyle w:val="ConsPlusNonformat"/>
        <w:ind w:firstLine="684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основу прогноза расходов областного бюджета положены Федеральные законы от 31 июля 1998 года № 145-ФЗ «Бюджетный кодекс Рос</w:t>
      </w:r>
      <w:r>
        <w:rPr>
          <w:rFonts w:ascii="Times New Roman" w:hAnsi="Times New Roman"/>
          <w:sz w:val="28"/>
        </w:rPr>
        <w:t>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</w:t>
      </w:r>
      <w:r>
        <w:rPr>
          <w:rFonts w:ascii="Times New Roman" w:hAnsi="Times New Roman"/>
          <w:sz w:val="28"/>
        </w:rPr>
        <w:t>ополнений), от 6 октября 2003 года № 131-ФЗ «Об общих принципах организации местного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</w:t>
      </w:r>
      <w:r>
        <w:rPr>
          <w:rFonts w:ascii="Times New Roman" w:hAnsi="Times New Roman"/>
          <w:sz w:val="28"/>
        </w:rPr>
        <w:t xml:space="preserve">терства финансов Российской Федерации </w:t>
      </w:r>
      <w:r>
        <w:rPr>
          <w:rFonts w:ascii="Times New Roman" w:hAnsi="Times New Roman"/>
          <w:sz w:val="28"/>
        </w:rPr>
        <w:t xml:space="preserve">от 06.06.2019 № 85н «О Порядке формирования и применения кодов бюджетной классификации Российской Федерации, </w:t>
      </w:r>
      <w:r>
        <w:rPr>
          <w:rFonts w:ascii="Times New Roman" w:hAnsi="Times New Roman"/>
          <w:sz w:val="28"/>
        </w:rPr>
        <w:t xml:space="preserve">их структуре и принципах назначения» </w:t>
      </w:r>
      <w:r>
        <w:rPr>
          <w:rFonts w:ascii="Times New Roman" w:hAnsi="Times New Roman"/>
          <w:sz w:val="28"/>
        </w:rPr>
        <w:t>(с учетом изменений), от 08.06.2021 № 75н «Об утверждении кодов (перечней</w:t>
      </w:r>
      <w:r>
        <w:rPr>
          <w:rFonts w:ascii="Times New Roman" w:hAnsi="Times New Roman"/>
          <w:sz w:val="28"/>
        </w:rPr>
        <w:t xml:space="preserve"> кодов) бюджетной классификации Российской Федерации на 2022 год (на 2022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год и на плановый период 2023 и 2024 годов)», Основные направления бюджетной и налоговой политики Курской области на 2022 год и на плановый период 2023 и 2024 годов, утвержденные рас</w:t>
      </w:r>
      <w:r>
        <w:rPr>
          <w:rFonts w:ascii="Times New Roman" w:hAnsi="Times New Roman"/>
          <w:sz w:val="28"/>
        </w:rPr>
        <w:t>поряжением Администрации Курской области от 4 октября 2021 года № 590-ра, а также проект федерального закона «О федеральном бюджете на 2022 год и на плановый период 2023 и 2024 годов».</w:t>
      </w:r>
      <w:proofErr w:type="gramEnd"/>
    </w:p>
    <w:p w:rsidR="002105C9" w:rsidRDefault="002105C9">
      <w:pPr>
        <w:pStyle w:val="a1"/>
        <w:spacing w:after="0"/>
        <w:ind w:firstLine="709"/>
        <w:jc w:val="both"/>
        <w:rPr>
          <w:sz w:val="28"/>
        </w:rPr>
      </w:pPr>
    </w:p>
    <w:p w:rsidR="002105C9" w:rsidRDefault="001E1FD6">
      <w:pPr>
        <w:pStyle w:val="af1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подходы к планированию расходов бюджета муниципального образован</w:t>
      </w:r>
      <w:r>
        <w:rPr>
          <w:b/>
          <w:sz w:val="28"/>
        </w:rPr>
        <w:t>ия «Нижнереутчанский сельсовет» Медвенского района Курской области на 2022 год и на плановый период 2023 и 2024 годов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Планирование бюджетных ассигнований бюджета поселения осуществляется в соответствии с расходными обязательствами, установленными федера</w:t>
      </w:r>
      <w:r>
        <w:rPr>
          <w:sz w:val="28"/>
        </w:rPr>
        <w:t xml:space="preserve">льными законами и законами Курской области, нормативными правовыми актами Курской области, </w:t>
      </w:r>
      <w:r>
        <w:rPr>
          <w:sz w:val="28"/>
        </w:rPr>
        <w:t xml:space="preserve">муниципальными правовыми актами, </w:t>
      </w:r>
      <w:r>
        <w:rPr>
          <w:sz w:val="28"/>
        </w:rPr>
        <w:t>решением Собрания депутатов Нижнереутчанского сельсовета Медвенского района Курской области от 04 апреля 2014 года № 48/366 «Об утверж</w:t>
      </w:r>
      <w:r>
        <w:rPr>
          <w:sz w:val="28"/>
        </w:rPr>
        <w:t>дении Положения о бюджетном процессе в муниципальном образовании «Нижнереутчанский сельсовет» Медвенского района Курской области» (с учетом изменений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 дополнений), </w:t>
      </w:r>
      <w:r>
        <w:rPr>
          <w:sz w:val="28"/>
        </w:rPr>
        <w:t>договорами и соглашениями, заключенными Нижнереутчанским сельсоветом, исполнение которых до</w:t>
      </w:r>
      <w:r>
        <w:rPr>
          <w:sz w:val="28"/>
        </w:rPr>
        <w:t>лжно происходить в 2022 году (в 2022 году и в плановом периоде 2023-2024 годов) за счет средств бюджета поселения (за исключением целевых межбюджетных трансфертов из федерального и областного бюджетов).</w:t>
      </w:r>
      <w:proofErr w:type="gramEnd"/>
      <w:r>
        <w:rPr>
          <w:sz w:val="28"/>
        </w:rPr>
        <w:t xml:space="preserve"> </w:t>
      </w:r>
      <w:r>
        <w:rPr>
          <w:sz w:val="28"/>
        </w:rPr>
        <w:t>Планирование расходов бюджета на 2022-2024 годы осуще</w:t>
      </w:r>
      <w:r>
        <w:rPr>
          <w:sz w:val="28"/>
        </w:rPr>
        <w:t xml:space="preserve">ствляется в рамках муниципальных программ и не </w:t>
      </w:r>
      <w:r>
        <w:rPr>
          <w:sz w:val="28"/>
        </w:rPr>
        <w:t>программных мероприятий.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2. Расчёт бюджетных ассигнований может осуществляться: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а) нормативным методом - расчет объема бюджетных ассигнований на основе нормативов, утвержденных в соответствующем правовом акте, </w:t>
      </w:r>
      <w:r>
        <w:rPr>
          <w:sz w:val="28"/>
        </w:rPr>
        <w:t>отражающих уровень использования ресурсов (материальных, трудовых, финансовых);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</w:t>
      </w:r>
      <w:r>
        <w:rPr>
          <w:sz w:val="28"/>
        </w:rPr>
        <w:t>ых ассигнований текущего финансового года;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в) плановым методом - установление объема бюджетных ассигнований в соответствии с показателями, указанными в муниципальной программе, инвестиционном проекте, договоре, контракте, соглашении, соответствующем правов</w:t>
      </w:r>
      <w:r>
        <w:rPr>
          <w:sz w:val="28"/>
        </w:rPr>
        <w:t>ом акте, а также на основе прямого счета и калькуляции стоимости (отдельных элементов стоимости) муниципальных услуг (работ) и программных мероприятий;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ным методом, отличным от перечисленных или сочетающим перечисленные методы.</w:t>
      </w:r>
    </w:p>
    <w:p w:rsidR="002105C9" w:rsidRDefault="001E1FD6">
      <w:pPr>
        <w:pStyle w:val="a1"/>
        <w:numPr>
          <w:ilvl w:val="0"/>
          <w:numId w:val="2"/>
        </w:numPr>
        <w:tabs>
          <w:tab w:val="left" w:pos="0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За основу расчёта предель</w:t>
      </w:r>
      <w:r>
        <w:rPr>
          <w:sz w:val="28"/>
        </w:rPr>
        <w:t>ных объемов бюджетных ассигнований на 2022 год и плановый период 2023-2024 годов по действующим расходным обязательствам, доводимых до ГРБС, принимаются показатели отчетного года, скорректированные на суммы бюджетных ассигнований: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- производимых в соответс</w:t>
      </w:r>
      <w:r>
        <w:rPr>
          <w:sz w:val="28"/>
        </w:rPr>
        <w:t>твии с разовыми решениями или решениями, срок действия которых ограничен текущим финансовым годом;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возникших в результате изменения состава и (или) полномочий (функций) главных распорядителей;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возникших в результате структурных и организационных преобр</w:t>
      </w:r>
      <w:r>
        <w:rPr>
          <w:sz w:val="28"/>
        </w:rPr>
        <w:t>азований в установленных сферах деятельности;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необходимых для реализации решений, принятых или планируемых к принятию в текущем году и подлежащих учету при уточнении бюджета на текущий финансовый год (повышение в течение текущего года размера оплаты труд</w:t>
      </w:r>
      <w:r>
        <w:rPr>
          <w:sz w:val="28"/>
        </w:rPr>
        <w:t>а,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-финансовое обеспечение которых, осуществляется за счёт межбюджетных трансфертов, имеющих целевое назначение;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других ас</w:t>
      </w:r>
      <w:r>
        <w:rPr>
          <w:sz w:val="28"/>
        </w:rPr>
        <w:t>сигнований, имеющих отраслевую специфику планирования.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Если совокупный предельный объем бюджетных ассигнований, сформированный в соответствии с настоящей методикой, превышает общий прогнозируемый объем финансовых ресурсов (объем собственных доходов проекта</w:t>
      </w:r>
      <w:r>
        <w:rPr>
          <w:sz w:val="28"/>
        </w:rPr>
        <w:t xml:space="preserve"> бюджета поселения, объем безвозмездных поступлений и объем поступлений по источникам финансирования дефицита бюджета за вычетом выплат из источников финансирования дефицита бюджета), для обеспечения сбалансированности проекта бюджета поселения включение а</w:t>
      </w:r>
      <w:r>
        <w:rPr>
          <w:sz w:val="28"/>
        </w:rPr>
        <w:t>ссигнований на исполнение принимаемых расходных обязательств осуществляется с учетом предложений</w:t>
      </w:r>
      <w:proofErr w:type="gramEnd"/>
      <w:r>
        <w:rPr>
          <w:sz w:val="28"/>
        </w:rPr>
        <w:t xml:space="preserve"> главных распорядителей о перераспределении (оптимизации) бюджетных ассигнований на исполнение действующих расходных обязательств.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3. Формирование объема бюджет</w:t>
      </w:r>
      <w:r>
        <w:rPr>
          <w:sz w:val="28"/>
        </w:rPr>
        <w:t>ных ассигнований осуществляется из необходимости обеспечения исполнения в первоочередном порядке: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публичных нормативных и приравненных к ним обязательств;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-расходов на оплату труда и начислениям на оплату труда;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оплаты коммунальных услуг;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-налогов, сбо</w:t>
      </w:r>
      <w:r>
        <w:rPr>
          <w:sz w:val="28"/>
        </w:rPr>
        <w:t>ров и других обязательных платежей в бюджет;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-соблюдения условий софинансирования расходов из федерального и областного бюджета.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1) При расчете расходов на оплату труда применяются условия оплаты, установленные действующими муниципальными правовыми актами,</w:t>
      </w:r>
      <w:r>
        <w:rPr>
          <w:sz w:val="28"/>
        </w:rPr>
        <w:t xml:space="preserve"> с учетом принятых решений об индексации оплаты труда работников муниципальных учреждений и изменений размеров оплаты труда, установленных законодательством Российской Федерации указов Президента Российской Федерации от 28 декабря 2012 года №1688 и от 7 ма</w:t>
      </w:r>
      <w:r>
        <w:rPr>
          <w:sz w:val="28"/>
        </w:rPr>
        <w:t>я 2012 года № 597 осуществляется в соответствии со средней заработной платой категории</w:t>
      </w:r>
      <w:proofErr w:type="gramEnd"/>
      <w:r>
        <w:rPr>
          <w:sz w:val="28"/>
        </w:rPr>
        <w:t xml:space="preserve"> работников, определенных в указах Президента Российской Федерации, к средней заработной плате в регионе.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2)Начисления на выплаты по оплате труда устанавливаются с учетом</w:t>
      </w:r>
      <w:r>
        <w:rPr>
          <w:sz w:val="28"/>
        </w:rPr>
        <w:t xml:space="preserve"> положений Федеральных законов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и от 24 июля 1998 года № 1</w:t>
      </w:r>
      <w:r>
        <w:rPr>
          <w:sz w:val="28"/>
        </w:rPr>
        <w:t>25-ФЗ «Об обязательном социальном страховании от несчастных случаев на производстве и профессиональных заболеваний».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3)Расходы на оплату коммунальных услуг определяются исходя из потребления </w:t>
      </w:r>
      <w:proofErr w:type="spellStart"/>
      <w:proofErr w:type="gramStart"/>
      <w:r>
        <w:rPr>
          <w:sz w:val="28"/>
        </w:rPr>
        <w:t>тепло-энергоресурсов</w:t>
      </w:r>
      <w:proofErr w:type="spellEnd"/>
      <w:proofErr w:type="gramEnd"/>
      <w:r>
        <w:rPr>
          <w:sz w:val="28"/>
        </w:rPr>
        <w:t xml:space="preserve"> </w:t>
      </w:r>
      <w:r>
        <w:rPr>
          <w:sz w:val="28"/>
        </w:rPr>
        <w:t>в натуральном выражении в отчетном году, тари</w:t>
      </w:r>
      <w:r>
        <w:rPr>
          <w:sz w:val="28"/>
        </w:rPr>
        <w:t>фов по видам услуг с учетом прогноза показателей инфляции.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4)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</w:t>
      </w:r>
      <w:r>
        <w:rPr>
          <w:sz w:val="28"/>
        </w:rPr>
        <w:t xml:space="preserve"> платежей в соответствии с действующим законодательством, регламентирующим порядок начисления и уплаты налогов (сборов), исходя из прогноза налогооблагаемой базы и налоговых ставок, с учетом сроков уплаты налогов.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5) Планирование бюджетных ассигнований на </w:t>
      </w:r>
      <w:r>
        <w:rPr>
          <w:sz w:val="28"/>
        </w:rPr>
        <w:t>обеспечение выполнения функций муниципальных казенных учреждений, в том числе по оказанию муниципальных услуг (выполнение работ) физическим и (или) юридическим лицам, осуществляется в соответствии с показателями бюджетной сметы и общими подходами к планиро</w:t>
      </w:r>
      <w:r>
        <w:rPr>
          <w:sz w:val="28"/>
        </w:rPr>
        <w:t>ванию бюджетных ассигнований проекта бюджета поселения.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6)Объемы бюджетных ассигнований на социальное обеспечение населения рассчитываются нормативным методом путем умножения планируемого норматива на прогнозируемую численность физических лиц, являющихся п</w:t>
      </w:r>
      <w:r>
        <w:rPr>
          <w:sz w:val="28"/>
        </w:rPr>
        <w:t>олучателями выплат, с учетом особенностей назначения отдельных социальных выплат или в соответствии с утвержденным порядком предоставления социальных выплат гражданам. Бюджетные ассигнования на исполнение расходных обязательств на социальное обеспечение на</w:t>
      </w:r>
      <w:r>
        <w:rPr>
          <w:sz w:val="28"/>
        </w:rPr>
        <w:t>селения, возникших в результате принятия публичных нормативных обязательств, предусматриваются отдельно по каждому виду таких обязательств в виде пособий, компенсаций и других социальных выплат.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7) Бюджетные ассигнования на исполнение обязательств по погаш</w:t>
      </w:r>
      <w:r>
        <w:rPr>
          <w:sz w:val="28"/>
        </w:rPr>
        <w:t>ению и обслуживанию муниципального долга рассчитываются в соответствии с договорами, контрактами и соглашениями, определяющими условия привлечения, обращения и погашения долговых обязательств Администрации Нижнереутчанского сельсовета, с учетом прогноза об</w:t>
      </w:r>
      <w:r>
        <w:rPr>
          <w:sz w:val="28"/>
        </w:rPr>
        <w:t>ъема задолженности по каждому долговому обязательству и сроков погашения ранее привлеченных заемных средств.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8) Объем бюджетных ассигнований на исполнение судебных актов по искам к Администрации Нижнереутчанского сельсовета о возмещении вреда, причиненного</w:t>
      </w:r>
      <w:r>
        <w:rPr>
          <w:sz w:val="28"/>
        </w:rPr>
        <w:t xml:space="preserve"> гражданину или юридическому лицу в результате незаконных действий (бездействия) органов местного самоуправления или их должностных лиц, в том числе в результате издания не соответствующего закону или иному правовому акту акта органа местного самоуправлени</w:t>
      </w:r>
      <w:r>
        <w:rPr>
          <w:sz w:val="28"/>
        </w:rPr>
        <w:t>я, а также судебных актов по иным искам о взыскании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денежных средств за счет средств Администрации Нижнереутчанского сельсовета, судебных актов о присуждении компенсации за нарушение права на исполнение судебного акта в разумный срок за счет средств бюджет</w:t>
      </w:r>
      <w:r>
        <w:rPr>
          <w:sz w:val="28"/>
        </w:rPr>
        <w:t>а Нижнереутчанского сельсовета, предусматривается на основе исполнения соответствующих расходов в отчетном периоде, ожидаемого исполнения в текущем финансовом году с учетом предоставления отсрочки (рассрочки) платежа по судебным актам, принятым к учету.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9)</w:t>
      </w:r>
      <w:r>
        <w:rPr>
          <w:sz w:val="28"/>
        </w:rPr>
        <w:t>Планирование бюджетных ассигнований на расходные обязательства, исполняемые за счет средств от других бюджетов бюджетной системы Российской Федерации, осуществляется с учетом объемов и требований, предусмотренных соответствующими постановлениями Правительс</w:t>
      </w:r>
      <w:r>
        <w:rPr>
          <w:sz w:val="28"/>
        </w:rPr>
        <w:t>тва Российской Федерации, Правительства Курской области, другими нормативными правовыми актами и соглашениями.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10) В составе расходов бюджета Нижнереутчанского сельского поселения могут предусматриваться бюджетные ассигнования на погашение кредиторской зад</w:t>
      </w:r>
      <w:r>
        <w:rPr>
          <w:sz w:val="28"/>
        </w:rPr>
        <w:t>олженности.</w:t>
      </w:r>
    </w:p>
    <w:p w:rsidR="002105C9" w:rsidRDefault="001E1FD6">
      <w:pPr>
        <w:pStyle w:val="af1"/>
        <w:ind w:firstLine="709"/>
        <w:jc w:val="both"/>
        <w:rPr>
          <w:sz w:val="28"/>
        </w:rPr>
      </w:pPr>
      <w:r>
        <w:rPr>
          <w:sz w:val="28"/>
        </w:rPr>
        <w:t>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2022 год и плановый период 2023-2024годов.</w:t>
      </w:r>
    </w:p>
    <w:p w:rsidR="002105C9" w:rsidRDefault="002105C9">
      <w:pPr>
        <w:pStyle w:val="af1"/>
        <w:ind w:firstLine="709"/>
        <w:jc w:val="both"/>
        <w:rPr>
          <w:b/>
          <w:sz w:val="28"/>
        </w:rPr>
      </w:pPr>
    </w:p>
    <w:p w:rsidR="002105C9" w:rsidRDefault="001E1FD6">
      <w:pPr>
        <w:pStyle w:val="af1"/>
        <w:ind w:firstLine="709"/>
        <w:jc w:val="center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z w:val="28"/>
        </w:rPr>
        <w:tab/>
        <w:t>Отдельные особенности плани</w:t>
      </w:r>
      <w:r>
        <w:rPr>
          <w:b/>
          <w:sz w:val="28"/>
        </w:rPr>
        <w:t xml:space="preserve">рования бюджетных ассигнований бюджета муниципального образования </w:t>
      </w:r>
    </w:p>
    <w:p w:rsidR="002105C9" w:rsidRDefault="001E1FD6">
      <w:pPr>
        <w:pStyle w:val="af1"/>
        <w:ind w:firstLine="709"/>
        <w:jc w:val="center"/>
        <w:rPr>
          <w:b/>
          <w:sz w:val="28"/>
        </w:rPr>
      </w:pPr>
      <w:r>
        <w:rPr>
          <w:b/>
          <w:sz w:val="28"/>
        </w:rPr>
        <w:t>«Нижнереутчанский сельсовет» Медвенского района Курской области</w:t>
      </w:r>
    </w:p>
    <w:p w:rsidR="002105C9" w:rsidRDefault="002105C9">
      <w:pPr>
        <w:pStyle w:val="af1"/>
        <w:ind w:firstLine="709"/>
        <w:jc w:val="center"/>
        <w:rPr>
          <w:b/>
          <w:sz w:val="28"/>
        </w:rPr>
      </w:pPr>
    </w:p>
    <w:p w:rsidR="002105C9" w:rsidRPr="001E1FD6" w:rsidRDefault="001E1FD6" w:rsidP="001E1FD6">
      <w:pPr>
        <w:pStyle w:val="1"/>
        <w:numPr>
          <w:ilvl w:val="0"/>
          <w:numId w:val="0"/>
        </w:numPr>
        <w:ind w:left="709"/>
        <w:jc w:val="both"/>
        <w:rPr>
          <w:sz w:val="28"/>
        </w:rPr>
      </w:pPr>
      <w:r w:rsidRPr="001E1FD6">
        <w:rPr>
          <w:sz w:val="28"/>
        </w:rPr>
        <w:t>Раздел 0100 «Общегосударственные вопросы», по 0102,0104,0113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Подраздел 0102 «Функционирование высшего должностного лица субъ</w:t>
      </w:r>
      <w:r>
        <w:rPr>
          <w:b/>
          <w:sz w:val="28"/>
        </w:rPr>
        <w:t>екта Российской Федерации и органа местного самоуправления»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По данному подразделу планируются расходы:</w:t>
      </w:r>
    </w:p>
    <w:p w:rsidR="002105C9" w:rsidRDefault="001E1FD6">
      <w:pPr>
        <w:pStyle w:val="a1"/>
        <w:spacing w:after="0"/>
        <w:ind w:firstLine="709"/>
        <w:jc w:val="both"/>
        <w:rPr>
          <w:b/>
          <w:sz w:val="28"/>
        </w:rPr>
      </w:pPr>
      <w:proofErr w:type="gramStart"/>
      <w:r>
        <w:rPr>
          <w:sz w:val="28"/>
        </w:rPr>
        <w:t>на содержание главы Нижнереутчанского сельсовета по фонду оплаты труда с начислениями, исходя из действовавшего Закона Курской области от 14.12.2006 г. №</w:t>
      </w:r>
      <w:r>
        <w:rPr>
          <w:sz w:val="28"/>
        </w:rPr>
        <w:t xml:space="preserve">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</w:t>
      </w:r>
      <w:r>
        <w:rPr>
          <w:sz w:val="28"/>
        </w:rPr>
        <w:t>ципальных предприятий и учреждений» (с последующими изменениями и дополнениями)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 данному подразделу планируются расходы на содержание </w:t>
      </w:r>
      <w:r>
        <w:rPr>
          <w:sz w:val="28"/>
        </w:rPr>
        <w:t xml:space="preserve">администрации </w:t>
      </w:r>
      <w:r>
        <w:rPr>
          <w:sz w:val="28"/>
        </w:rPr>
        <w:t>Нижнереутчанского</w:t>
      </w:r>
      <w:r>
        <w:rPr>
          <w:sz w:val="28"/>
        </w:rPr>
        <w:t xml:space="preserve"> сельсовета: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а) по начислениям на оплату труда в соответствии с установленными Федеральными законами от 24.07.2009 г. № 212-ФЗ «О страховых взносах в Пенсионный фонд Рос</w:t>
      </w:r>
      <w:r>
        <w:rPr>
          <w:sz w:val="28"/>
        </w:rPr>
        <w:t>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28.11.2009 г. № 297-ФЗ «О страховых тарифах на обязательное с</w:t>
      </w:r>
      <w:r>
        <w:rPr>
          <w:sz w:val="28"/>
        </w:rPr>
        <w:t>оциальное страхование от несчастных случаев на производстве и профессиональных заболеваний</w:t>
      </w:r>
      <w:proofErr w:type="gramEnd"/>
      <w:r>
        <w:rPr>
          <w:sz w:val="28"/>
        </w:rPr>
        <w:t xml:space="preserve"> на 2010 год и на плановый период 2011 и 2012 годов» тарифами страховых взносов в государственные внебюджетные фонды в размере 30,2 %;</w:t>
      </w:r>
    </w:p>
    <w:p w:rsidR="002105C9" w:rsidRDefault="001E1FD6">
      <w:pPr>
        <w:ind w:firstLine="709"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По подразделу 0113 «Другие </w:t>
      </w:r>
      <w:r>
        <w:rPr>
          <w:b/>
          <w:sz w:val="28"/>
        </w:rPr>
        <w:t>общегосударственные вопросы»</w:t>
      </w:r>
      <w:r>
        <w:rPr>
          <w:sz w:val="28"/>
        </w:rPr>
        <w:t xml:space="preserve"> предусмотрены расходы на осуществление расходных обязательств поселения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</w:t>
      </w:r>
      <w:r>
        <w:rPr>
          <w:sz w:val="28"/>
        </w:rPr>
        <w:t>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  <w:proofErr w:type="gramEnd"/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 xml:space="preserve">Подраздел 0106 «Обеспечение деятельности финансовых, </w:t>
      </w:r>
      <w:r>
        <w:rPr>
          <w:b/>
          <w:sz w:val="28"/>
        </w:rPr>
        <w:t>налоговых и таможенных органов и органов финансового (финансово-бюджетного) надзора»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 данному подразделу запланированы расходы на содержание контрольно-счетных органов муниципального района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 xml:space="preserve">онтрольно-счетный орган Медвенского района Курской области по </w:t>
      </w:r>
      <w:r>
        <w:rPr>
          <w:sz w:val="28"/>
        </w:rPr>
        <w:t>осуществлению внешнего финансового контроля и Отдел финансово – бюджетного контроля Администрации Медвенского района.</w:t>
      </w:r>
    </w:p>
    <w:p w:rsidR="002105C9" w:rsidRDefault="001E1FD6">
      <w:pPr>
        <w:pStyle w:val="a1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Раздел 0200 «Национальная оборона»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b/>
          <w:sz w:val="28"/>
        </w:rPr>
        <w:t>Подраздел 0203 «Мобилизационная и вневойсковая подготовка»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По данному подразделу предусмотрены расходы </w:t>
      </w:r>
      <w:r>
        <w:rPr>
          <w:sz w:val="28"/>
        </w:rPr>
        <w:t>на осуществление переданных полномочий Российской Федерации по первичному воинскому учету на территориях, где отсутствуют военные комиссариаты</w:t>
      </w:r>
      <w:r>
        <w:rPr>
          <w:sz w:val="28"/>
        </w:rPr>
        <w:t xml:space="preserve"> за счет средств федерального бюджета в 2022 году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Раздел 0300 «Национальная безопасность и правоохранительная деят</w:t>
      </w:r>
      <w:r>
        <w:rPr>
          <w:b/>
          <w:sz w:val="28"/>
        </w:rPr>
        <w:t xml:space="preserve">ельность» </w:t>
      </w:r>
    </w:p>
    <w:p w:rsidR="002105C9" w:rsidRDefault="001E1FD6">
      <w:pPr>
        <w:pStyle w:val="a1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Подраздел 0314 «Другие вопросы в области национальной безопасности и правоохранительной деятельности»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По данному подразделу предусмотрены расходы на обеспечение первичных мер пожарной безопасности в границах населенных пунктов поселений. Реализа</w:t>
      </w:r>
      <w:r>
        <w:rPr>
          <w:sz w:val="28"/>
        </w:rPr>
        <w:t xml:space="preserve">ция программ муниципального образования: Муниципальная программа «Защита населения и территории обеспечение пожарной безопасности МО Нижнереутчанского сельсовета Медвенского района Курской области на 2019-2022 годы» </w:t>
      </w:r>
    </w:p>
    <w:p w:rsidR="002105C9" w:rsidRPr="001E1FD6" w:rsidRDefault="001E1FD6" w:rsidP="001E1FD6">
      <w:pPr>
        <w:pStyle w:val="1"/>
        <w:numPr>
          <w:ilvl w:val="0"/>
          <w:numId w:val="0"/>
        </w:numPr>
        <w:ind w:firstLine="709"/>
        <w:jc w:val="both"/>
        <w:rPr>
          <w:sz w:val="28"/>
        </w:rPr>
      </w:pPr>
      <w:r w:rsidRPr="001E1FD6">
        <w:rPr>
          <w:sz w:val="28"/>
        </w:rPr>
        <w:t>Раздел 0400 «Национальная экономика»</w:t>
      </w:r>
    </w:p>
    <w:p w:rsidR="002105C9" w:rsidRDefault="001E1FD6" w:rsidP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>драздел 0412 «Другие вопросы в области национальной экономики»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 данному подразделу планируются расходы на утверждение генеральных планов поселений и на осуществление бюджетных инвестиций в объекты социальной и инженерной инфраструктуры на территории посе</w:t>
      </w:r>
      <w:r>
        <w:rPr>
          <w:sz w:val="28"/>
        </w:rPr>
        <w:t>лений.</w:t>
      </w:r>
    </w:p>
    <w:p w:rsidR="002105C9" w:rsidRPr="001E1FD6" w:rsidRDefault="001E1FD6" w:rsidP="001E1FD6">
      <w:pPr>
        <w:pStyle w:val="1"/>
        <w:numPr>
          <w:ilvl w:val="0"/>
          <w:numId w:val="0"/>
        </w:numPr>
        <w:ind w:firstLine="709"/>
        <w:jc w:val="both"/>
        <w:rPr>
          <w:sz w:val="28"/>
        </w:rPr>
      </w:pPr>
      <w:r w:rsidRPr="001E1FD6">
        <w:rPr>
          <w:sz w:val="28"/>
        </w:rPr>
        <w:t>Раздел 0500 «Жилищно-коммунальное хозяйство»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b/>
          <w:sz w:val="28"/>
        </w:rPr>
        <w:t>Подраздел 0503 «Благоустройство»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По данному подразделу планируются расходы на благоустройство муниципальных образований в границах населенных пунктов, включающие уличное освещение, озеленение, расход</w:t>
      </w:r>
      <w:r>
        <w:rPr>
          <w:sz w:val="28"/>
        </w:rPr>
        <w:t>ы</w:t>
      </w:r>
      <w:r>
        <w:rPr>
          <w:sz w:val="28"/>
        </w:rPr>
        <w:t xml:space="preserve">, </w:t>
      </w:r>
      <w:r>
        <w:rPr>
          <w:sz w:val="28"/>
        </w:rPr>
        <w:t>свя</w:t>
      </w:r>
      <w:r>
        <w:rPr>
          <w:sz w:val="28"/>
        </w:rPr>
        <w:t xml:space="preserve">занные с содержанием </w:t>
      </w:r>
      <w:r>
        <w:rPr>
          <w:sz w:val="28"/>
        </w:rPr>
        <w:t>мест захоронения (кладбищ), прочим мероприятиям по благоустройству городских округов и поселений</w:t>
      </w:r>
      <w:r>
        <w:rPr>
          <w:sz w:val="28"/>
        </w:rPr>
        <w:t>, а также иные расходы по содержанию объектов благоустройства</w:t>
      </w:r>
    </w:p>
    <w:p w:rsidR="002105C9" w:rsidRDefault="001E1FD6" w:rsidP="001E1FD6">
      <w:pPr>
        <w:pStyle w:val="a1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Раздел 0700 «Образование»</w:t>
      </w:r>
    </w:p>
    <w:p w:rsidR="002105C9" w:rsidRDefault="001E1FD6">
      <w:pPr>
        <w:pStyle w:val="afd"/>
        <w:spacing w:after="0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Подраздел 0707 «Молодежная политика и оздоровление </w:t>
      </w:r>
      <w:r>
        <w:rPr>
          <w:b/>
          <w:sz w:val="28"/>
        </w:rPr>
        <w:t>детей»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sz w:val="28"/>
        </w:rPr>
        <w:t>По данному подразделу предусмотрены расходы организацию и осуществление мероприятий по работе с детьми и молодежью.</w:t>
      </w:r>
    </w:p>
    <w:p w:rsidR="002105C9" w:rsidRDefault="001E1FD6" w:rsidP="001E1FD6">
      <w:pPr>
        <w:pStyle w:val="a1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Раздел 0800 «Культура и кинематография»</w:t>
      </w:r>
    </w:p>
    <w:p w:rsidR="002105C9" w:rsidRDefault="001E1FD6">
      <w:pPr>
        <w:pStyle w:val="afd"/>
        <w:spacing w:after="0"/>
        <w:ind w:left="0" w:firstLine="709"/>
        <w:jc w:val="both"/>
        <w:rPr>
          <w:sz w:val="28"/>
        </w:rPr>
      </w:pPr>
      <w:r>
        <w:rPr>
          <w:b/>
          <w:sz w:val="28"/>
        </w:rPr>
        <w:t>Подраздел 0801 «Культура»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 данному подразделу планируются расходы в области культуры, </w:t>
      </w:r>
      <w:r>
        <w:rPr>
          <w:sz w:val="28"/>
        </w:rPr>
        <w:t xml:space="preserve">которые планируются: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 xml:space="preserve">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</w:t>
      </w:r>
      <w:r>
        <w:rPr>
          <w:sz w:val="28"/>
        </w:rPr>
        <w:t>Российской Федерации к средней заработной плате в регионе;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-по начислениям на оплату труда – исходя из норматива 30,2%</w:t>
      </w:r>
    </w:p>
    <w:p w:rsidR="002105C9" w:rsidRDefault="001E1FD6">
      <w:pPr>
        <w:pStyle w:val="a1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Раздел 1000 «Социальная политика»</w:t>
      </w:r>
    </w:p>
    <w:p w:rsidR="002105C9" w:rsidRDefault="001E1FD6">
      <w:pPr>
        <w:pStyle w:val="afd"/>
        <w:spacing w:after="0"/>
        <w:ind w:left="0" w:firstLine="709"/>
        <w:jc w:val="both"/>
        <w:rPr>
          <w:b/>
          <w:sz w:val="28"/>
        </w:rPr>
      </w:pPr>
      <w:r>
        <w:rPr>
          <w:b/>
          <w:sz w:val="28"/>
        </w:rPr>
        <w:t>Подраздел 1001 «Пенсионное обеспечение»</w:t>
      </w:r>
    </w:p>
    <w:p w:rsidR="002105C9" w:rsidRDefault="001E1FD6">
      <w:pPr>
        <w:pStyle w:val="ab"/>
        <w:tabs>
          <w:tab w:val="left" w:pos="0"/>
          <w:tab w:val="left" w:pos="993"/>
        </w:tabs>
        <w:ind w:firstLine="709"/>
        <w:rPr>
          <w:b/>
          <w:sz w:val="28"/>
        </w:rPr>
      </w:pPr>
      <w:r>
        <w:rPr>
          <w:sz w:val="28"/>
        </w:rPr>
        <w:t>По данному подразделу предусмотрены расходы на выплату пенсий з</w:t>
      </w:r>
      <w:r>
        <w:rPr>
          <w:sz w:val="28"/>
        </w:rPr>
        <w:t>а выслугу лет и доплаты к пенсии муниципальным служащим.</w:t>
      </w:r>
    </w:p>
    <w:p w:rsidR="002105C9" w:rsidRDefault="001E1FD6">
      <w:pPr>
        <w:pStyle w:val="a1"/>
        <w:spacing w:after="0"/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 xml:space="preserve">Раздел 1100 «Физическая культура и спорт» </w:t>
      </w:r>
    </w:p>
    <w:p w:rsidR="002105C9" w:rsidRPr="001E1FD6" w:rsidRDefault="001E1FD6">
      <w:pPr>
        <w:pStyle w:val="a1"/>
        <w:spacing w:after="0"/>
        <w:ind w:firstLine="709"/>
        <w:jc w:val="both"/>
        <w:rPr>
          <w:sz w:val="28"/>
        </w:rPr>
      </w:pPr>
      <w:r w:rsidRPr="001E1FD6">
        <w:rPr>
          <w:b/>
          <w:sz w:val="28"/>
        </w:rPr>
        <w:t>По подразделу 1101 «Физическая культура»</w:t>
      </w:r>
    </w:p>
    <w:p w:rsidR="002105C9" w:rsidRDefault="001E1FD6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По данному подразделу предусмотрены расходы по обеспечению условий для развития на территории муниципального образо</w:t>
      </w:r>
      <w:r>
        <w:rPr>
          <w:sz w:val="28"/>
        </w:rPr>
        <w:t>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sectPr w:rsidR="002105C9" w:rsidSect="002105C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38F"/>
    <w:multiLevelType w:val="multilevel"/>
    <w:tmpl w:val="304A0B1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2A8850CD"/>
    <w:multiLevelType w:val="multilevel"/>
    <w:tmpl w:val="C49E93C0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0F6D96"/>
    <w:multiLevelType w:val="multilevel"/>
    <w:tmpl w:val="9F5291C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695C2F84"/>
    <w:multiLevelType w:val="multilevel"/>
    <w:tmpl w:val="1BE6C4EC"/>
    <w:lvl w:ilvl="0">
      <w:start w:val="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6"/>
  <w:characterSpacingControl w:val="doNotCompress"/>
  <w:savePreviewPicture/>
  <w:compat/>
  <w:rsids>
    <w:rsidRoot w:val="002105C9"/>
    <w:rsid w:val="001E1FD6"/>
    <w:rsid w:val="0021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105C9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2105C9"/>
    <w:pPr>
      <w:keepNext/>
      <w:numPr>
        <w:numId w:val="4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2105C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0"/>
    <w:next w:val="a1"/>
    <w:link w:val="30"/>
    <w:uiPriority w:val="9"/>
    <w:qFormat/>
    <w:rsid w:val="002105C9"/>
    <w:pPr>
      <w:numPr>
        <w:ilvl w:val="2"/>
        <w:numId w:val="4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2105C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105C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sid w:val="002105C9"/>
    <w:rPr>
      <w:sz w:val="24"/>
    </w:rPr>
  </w:style>
  <w:style w:type="paragraph" w:styleId="21">
    <w:name w:val="toc 2"/>
    <w:next w:val="a"/>
    <w:link w:val="22"/>
    <w:uiPriority w:val="39"/>
    <w:rsid w:val="002105C9"/>
    <w:pPr>
      <w:ind w:left="200"/>
    </w:pPr>
  </w:style>
  <w:style w:type="character" w:customStyle="1" w:styleId="22">
    <w:name w:val="Оглавление 2 Знак"/>
    <w:link w:val="21"/>
    <w:rsid w:val="002105C9"/>
  </w:style>
  <w:style w:type="paragraph" w:styleId="41">
    <w:name w:val="toc 4"/>
    <w:next w:val="a"/>
    <w:link w:val="42"/>
    <w:uiPriority w:val="39"/>
    <w:rsid w:val="002105C9"/>
    <w:pPr>
      <w:ind w:left="600"/>
    </w:pPr>
  </w:style>
  <w:style w:type="character" w:customStyle="1" w:styleId="42">
    <w:name w:val="Оглавление 4 Знак"/>
    <w:link w:val="41"/>
    <w:rsid w:val="002105C9"/>
  </w:style>
  <w:style w:type="paragraph" w:styleId="6">
    <w:name w:val="toc 6"/>
    <w:next w:val="a"/>
    <w:link w:val="60"/>
    <w:uiPriority w:val="39"/>
    <w:rsid w:val="002105C9"/>
    <w:pPr>
      <w:ind w:left="1000"/>
    </w:pPr>
  </w:style>
  <w:style w:type="character" w:customStyle="1" w:styleId="60">
    <w:name w:val="Оглавление 6 Знак"/>
    <w:link w:val="6"/>
    <w:rsid w:val="002105C9"/>
  </w:style>
  <w:style w:type="paragraph" w:styleId="7">
    <w:name w:val="toc 7"/>
    <w:next w:val="a"/>
    <w:link w:val="70"/>
    <w:uiPriority w:val="39"/>
    <w:rsid w:val="002105C9"/>
    <w:pPr>
      <w:ind w:left="1200"/>
    </w:pPr>
  </w:style>
  <w:style w:type="character" w:customStyle="1" w:styleId="70">
    <w:name w:val="Оглавление 7 Знак"/>
    <w:link w:val="7"/>
    <w:rsid w:val="002105C9"/>
  </w:style>
  <w:style w:type="paragraph" w:styleId="a1">
    <w:name w:val="Body Text"/>
    <w:basedOn w:val="a"/>
    <w:link w:val="a5"/>
    <w:rsid w:val="002105C9"/>
    <w:pPr>
      <w:spacing w:after="120"/>
    </w:pPr>
  </w:style>
  <w:style w:type="character" w:customStyle="1" w:styleId="a5">
    <w:name w:val="Основной текст Знак"/>
    <w:basedOn w:val="10"/>
    <w:link w:val="a1"/>
    <w:rsid w:val="002105C9"/>
  </w:style>
  <w:style w:type="character" w:customStyle="1" w:styleId="30">
    <w:name w:val="Заголовок 3 Знак"/>
    <w:basedOn w:val="a6"/>
    <w:link w:val="3"/>
    <w:rsid w:val="002105C9"/>
    <w:rPr>
      <w:b/>
      <w:sz w:val="28"/>
    </w:rPr>
  </w:style>
  <w:style w:type="paragraph" w:customStyle="1" w:styleId="12">
    <w:name w:val="Указатель1"/>
    <w:basedOn w:val="a"/>
    <w:link w:val="13"/>
    <w:rsid w:val="002105C9"/>
  </w:style>
  <w:style w:type="character" w:customStyle="1" w:styleId="13">
    <w:name w:val="Указатель1"/>
    <w:basedOn w:val="10"/>
    <w:link w:val="12"/>
    <w:rsid w:val="002105C9"/>
  </w:style>
  <w:style w:type="paragraph" w:styleId="a7">
    <w:name w:val="caption"/>
    <w:basedOn w:val="a"/>
    <w:link w:val="a8"/>
    <w:rsid w:val="002105C9"/>
    <w:pPr>
      <w:spacing w:before="120" w:after="120"/>
    </w:pPr>
    <w:rPr>
      <w:i/>
    </w:rPr>
  </w:style>
  <w:style w:type="character" w:customStyle="1" w:styleId="a8">
    <w:name w:val="Название объекта Знак"/>
    <w:basedOn w:val="10"/>
    <w:link w:val="a7"/>
    <w:rsid w:val="002105C9"/>
    <w:rPr>
      <w:i/>
      <w:sz w:val="24"/>
    </w:rPr>
  </w:style>
  <w:style w:type="paragraph" w:styleId="a9">
    <w:name w:val="Body Text First Indent"/>
    <w:basedOn w:val="a1"/>
    <w:link w:val="aa"/>
    <w:rsid w:val="002105C9"/>
    <w:pPr>
      <w:ind w:firstLine="283"/>
    </w:pPr>
  </w:style>
  <w:style w:type="character" w:customStyle="1" w:styleId="aa">
    <w:name w:val="Красная строка Знак"/>
    <w:basedOn w:val="a5"/>
    <w:link w:val="a9"/>
    <w:rsid w:val="002105C9"/>
  </w:style>
  <w:style w:type="paragraph" w:styleId="ab">
    <w:name w:val="Body Text Indent"/>
    <w:basedOn w:val="a"/>
    <w:link w:val="ac"/>
    <w:rsid w:val="002105C9"/>
    <w:pPr>
      <w:ind w:firstLine="851"/>
      <w:jc w:val="both"/>
    </w:pPr>
  </w:style>
  <w:style w:type="character" w:customStyle="1" w:styleId="ac">
    <w:name w:val="Основной текст с отступом Знак"/>
    <w:basedOn w:val="10"/>
    <w:link w:val="ab"/>
    <w:rsid w:val="002105C9"/>
    <w:rPr>
      <w:sz w:val="24"/>
    </w:rPr>
  </w:style>
  <w:style w:type="paragraph" w:styleId="ad">
    <w:name w:val="List Number"/>
    <w:basedOn w:val="ae"/>
    <w:link w:val="af"/>
    <w:rsid w:val="002105C9"/>
    <w:pPr>
      <w:ind w:left="360" w:hanging="360"/>
    </w:pPr>
  </w:style>
  <w:style w:type="character" w:customStyle="1" w:styleId="af">
    <w:name w:val="Нумерованный список Знак"/>
    <w:basedOn w:val="af0"/>
    <w:link w:val="ad"/>
    <w:rsid w:val="002105C9"/>
  </w:style>
  <w:style w:type="paragraph" w:customStyle="1" w:styleId="af1">
    <w:name w:val="Содержимое таблицы"/>
    <w:basedOn w:val="a"/>
    <w:link w:val="af2"/>
    <w:rsid w:val="002105C9"/>
  </w:style>
  <w:style w:type="character" w:customStyle="1" w:styleId="af2">
    <w:name w:val="Содержимое таблицы"/>
    <w:basedOn w:val="10"/>
    <w:link w:val="af1"/>
    <w:rsid w:val="002105C9"/>
  </w:style>
  <w:style w:type="paragraph" w:styleId="31">
    <w:name w:val="toc 3"/>
    <w:next w:val="a"/>
    <w:link w:val="32"/>
    <w:uiPriority w:val="39"/>
    <w:rsid w:val="002105C9"/>
    <w:pPr>
      <w:ind w:left="400"/>
    </w:pPr>
  </w:style>
  <w:style w:type="character" w:customStyle="1" w:styleId="32">
    <w:name w:val="Оглавление 3 Знак"/>
    <w:link w:val="31"/>
    <w:rsid w:val="002105C9"/>
  </w:style>
  <w:style w:type="paragraph" w:styleId="ae">
    <w:name w:val="List"/>
    <w:basedOn w:val="a1"/>
    <w:link w:val="af0"/>
    <w:rsid w:val="002105C9"/>
  </w:style>
  <w:style w:type="character" w:customStyle="1" w:styleId="af0">
    <w:name w:val="Список Знак"/>
    <w:basedOn w:val="a5"/>
    <w:link w:val="ae"/>
    <w:rsid w:val="002105C9"/>
  </w:style>
  <w:style w:type="paragraph" w:customStyle="1" w:styleId="ConsPlusNonformat">
    <w:name w:val="ConsPlusNonformat"/>
    <w:link w:val="ConsPlusNonformat0"/>
    <w:rsid w:val="002105C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105C9"/>
    <w:rPr>
      <w:rFonts w:ascii="Courier New" w:hAnsi="Courier New"/>
    </w:rPr>
  </w:style>
  <w:style w:type="paragraph" w:customStyle="1" w:styleId="ConsNormal">
    <w:name w:val="ConsNormal"/>
    <w:link w:val="ConsNormal0"/>
    <w:rsid w:val="002105C9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105C9"/>
    <w:rPr>
      <w:rFonts w:ascii="Arial" w:hAnsi="Arial"/>
    </w:rPr>
  </w:style>
  <w:style w:type="character" w:customStyle="1" w:styleId="50">
    <w:name w:val="Заголовок 5 Знак"/>
    <w:link w:val="5"/>
    <w:rsid w:val="002105C9"/>
    <w:rPr>
      <w:rFonts w:ascii="XO Thames" w:hAnsi="XO Thames"/>
      <w:b/>
      <w:color w:val="000000"/>
      <w:sz w:val="22"/>
    </w:rPr>
  </w:style>
  <w:style w:type="paragraph" w:styleId="33">
    <w:name w:val="List Bullet 3"/>
    <w:basedOn w:val="ae"/>
    <w:link w:val="34"/>
    <w:rsid w:val="002105C9"/>
    <w:pPr>
      <w:ind w:left="1080" w:hanging="360"/>
    </w:pPr>
  </w:style>
  <w:style w:type="character" w:customStyle="1" w:styleId="34">
    <w:name w:val="Маркированный список 3 Знак"/>
    <w:basedOn w:val="af0"/>
    <w:link w:val="33"/>
    <w:rsid w:val="002105C9"/>
  </w:style>
  <w:style w:type="character" w:customStyle="1" w:styleId="11">
    <w:name w:val="Заголовок 1 Знак"/>
    <w:basedOn w:val="10"/>
    <w:link w:val="1"/>
    <w:rsid w:val="002105C9"/>
    <w:rPr>
      <w:b/>
      <w:sz w:val="36"/>
    </w:rPr>
  </w:style>
  <w:style w:type="paragraph" w:styleId="43">
    <w:name w:val="List Number 4"/>
    <w:basedOn w:val="ae"/>
    <w:link w:val="44"/>
    <w:rsid w:val="002105C9"/>
    <w:pPr>
      <w:ind w:left="1440" w:hanging="360"/>
    </w:pPr>
  </w:style>
  <w:style w:type="character" w:customStyle="1" w:styleId="44">
    <w:name w:val="Нумерованный список 4 Знак"/>
    <w:basedOn w:val="af0"/>
    <w:link w:val="43"/>
    <w:rsid w:val="002105C9"/>
  </w:style>
  <w:style w:type="paragraph" w:customStyle="1" w:styleId="14">
    <w:name w:val="Гиперссылка1"/>
    <w:link w:val="af3"/>
    <w:rsid w:val="002105C9"/>
    <w:rPr>
      <w:color w:val="000080"/>
      <w:u w:val="single"/>
    </w:rPr>
  </w:style>
  <w:style w:type="character" w:styleId="af3">
    <w:name w:val="Hyperlink"/>
    <w:link w:val="14"/>
    <w:rsid w:val="002105C9"/>
    <w:rPr>
      <w:color w:val="000080"/>
      <w:u w:val="single"/>
    </w:rPr>
  </w:style>
  <w:style w:type="paragraph" w:customStyle="1" w:styleId="Footnote">
    <w:name w:val="Footnote"/>
    <w:link w:val="Footnote0"/>
    <w:rsid w:val="002105C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105C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105C9"/>
    <w:rPr>
      <w:rFonts w:ascii="XO Thames" w:hAnsi="XO Thames"/>
      <w:b/>
    </w:rPr>
  </w:style>
  <w:style w:type="character" w:customStyle="1" w:styleId="16">
    <w:name w:val="Оглавление 1 Знак"/>
    <w:link w:val="15"/>
    <w:rsid w:val="002105C9"/>
    <w:rPr>
      <w:rFonts w:ascii="XO Thames" w:hAnsi="XO Thames"/>
      <w:b/>
    </w:rPr>
  </w:style>
  <w:style w:type="paragraph" w:customStyle="1" w:styleId="17">
    <w:name w:val="Строгий1"/>
    <w:link w:val="af4"/>
    <w:rsid w:val="002105C9"/>
    <w:rPr>
      <w:b/>
    </w:rPr>
  </w:style>
  <w:style w:type="character" w:styleId="af4">
    <w:name w:val="Strong"/>
    <w:link w:val="17"/>
    <w:rsid w:val="002105C9"/>
    <w:rPr>
      <w:b/>
    </w:rPr>
  </w:style>
  <w:style w:type="paragraph" w:customStyle="1" w:styleId="HeaderandFooter">
    <w:name w:val="Header and Footer"/>
    <w:link w:val="HeaderandFooter0"/>
    <w:rsid w:val="002105C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05C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105C9"/>
    <w:pPr>
      <w:ind w:left="1600"/>
    </w:pPr>
  </w:style>
  <w:style w:type="character" w:customStyle="1" w:styleId="90">
    <w:name w:val="Оглавление 9 Знак"/>
    <w:link w:val="9"/>
    <w:rsid w:val="002105C9"/>
  </w:style>
  <w:style w:type="paragraph" w:styleId="8">
    <w:name w:val="toc 8"/>
    <w:next w:val="a"/>
    <w:link w:val="80"/>
    <w:uiPriority w:val="39"/>
    <w:rsid w:val="002105C9"/>
    <w:pPr>
      <w:ind w:left="1400"/>
    </w:pPr>
  </w:style>
  <w:style w:type="character" w:customStyle="1" w:styleId="80">
    <w:name w:val="Оглавление 8 Знак"/>
    <w:link w:val="8"/>
    <w:rsid w:val="002105C9"/>
  </w:style>
  <w:style w:type="paragraph" w:customStyle="1" w:styleId="af5">
    <w:name w:val="Заголовок таблицы"/>
    <w:basedOn w:val="af1"/>
    <w:link w:val="af6"/>
    <w:rsid w:val="002105C9"/>
    <w:pPr>
      <w:jc w:val="center"/>
    </w:pPr>
    <w:rPr>
      <w:b/>
    </w:rPr>
  </w:style>
  <w:style w:type="character" w:customStyle="1" w:styleId="af6">
    <w:name w:val="Заголовок таблицы"/>
    <w:basedOn w:val="af2"/>
    <w:link w:val="af5"/>
    <w:rsid w:val="002105C9"/>
    <w:rPr>
      <w:b/>
    </w:rPr>
  </w:style>
  <w:style w:type="paragraph" w:customStyle="1" w:styleId="a0">
    <w:name w:val="Заголовок"/>
    <w:basedOn w:val="a"/>
    <w:next w:val="a1"/>
    <w:link w:val="a6"/>
    <w:rsid w:val="002105C9"/>
    <w:pPr>
      <w:keepNext/>
      <w:spacing w:before="240" w:after="120"/>
    </w:pPr>
    <w:rPr>
      <w:rFonts w:ascii="Arial" w:hAnsi="Arial"/>
      <w:sz w:val="28"/>
    </w:rPr>
  </w:style>
  <w:style w:type="character" w:customStyle="1" w:styleId="a6">
    <w:name w:val="Заголовок"/>
    <w:basedOn w:val="10"/>
    <w:link w:val="a0"/>
    <w:rsid w:val="002105C9"/>
    <w:rPr>
      <w:rFonts w:ascii="Arial" w:hAnsi="Arial"/>
      <w:sz w:val="28"/>
    </w:rPr>
  </w:style>
  <w:style w:type="paragraph" w:styleId="51">
    <w:name w:val="toc 5"/>
    <w:next w:val="a"/>
    <w:link w:val="52"/>
    <w:uiPriority w:val="39"/>
    <w:rsid w:val="002105C9"/>
    <w:pPr>
      <w:ind w:left="800"/>
    </w:pPr>
  </w:style>
  <w:style w:type="character" w:customStyle="1" w:styleId="52">
    <w:name w:val="Оглавление 5 Знак"/>
    <w:link w:val="51"/>
    <w:rsid w:val="002105C9"/>
  </w:style>
  <w:style w:type="paragraph" w:customStyle="1" w:styleId="ConsPlusNormal">
    <w:name w:val="ConsPlusNormal"/>
    <w:link w:val="ConsPlusNormal0"/>
    <w:rsid w:val="002105C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105C9"/>
    <w:rPr>
      <w:rFonts w:ascii="Arial" w:hAnsi="Arial"/>
    </w:rPr>
  </w:style>
  <w:style w:type="paragraph" w:styleId="af7">
    <w:name w:val="Subtitle"/>
    <w:next w:val="a"/>
    <w:link w:val="af8"/>
    <w:uiPriority w:val="11"/>
    <w:qFormat/>
    <w:rsid w:val="002105C9"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sid w:val="002105C9"/>
    <w:rPr>
      <w:rFonts w:ascii="XO Thames" w:hAnsi="XO Thames"/>
      <w:i/>
      <w:color w:val="616161"/>
      <w:sz w:val="24"/>
    </w:rPr>
  </w:style>
  <w:style w:type="paragraph" w:customStyle="1" w:styleId="18">
    <w:name w:val="Основной шрифт абзаца1"/>
    <w:link w:val="toc10"/>
    <w:rsid w:val="002105C9"/>
  </w:style>
  <w:style w:type="paragraph" w:customStyle="1" w:styleId="toc10">
    <w:name w:val="toc 10"/>
    <w:next w:val="a"/>
    <w:link w:val="toc100"/>
    <w:uiPriority w:val="39"/>
    <w:rsid w:val="002105C9"/>
    <w:pPr>
      <w:ind w:left="1800"/>
    </w:pPr>
  </w:style>
  <w:style w:type="character" w:customStyle="1" w:styleId="toc100">
    <w:name w:val="toc 10"/>
    <w:link w:val="toc10"/>
    <w:rsid w:val="002105C9"/>
  </w:style>
  <w:style w:type="paragraph" w:styleId="af9">
    <w:name w:val="Title"/>
    <w:next w:val="a"/>
    <w:link w:val="afa"/>
    <w:uiPriority w:val="10"/>
    <w:qFormat/>
    <w:rsid w:val="002105C9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2105C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105C9"/>
    <w:rPr>
      <w:rFonts w:ascii="XO Thames" w:hAnsi="XO Thames"/>
      <w:b/>
      <w:color w:val="595959"/>
      <w:sz w:val="26"/>
    </w:rPr>
  </w:style>
  <w:style w:type="paragraph" w:customStyle="1" w:styleId="afb">
    <w:name w:val="Символ нумерации"/>
    <w:link w:val="afc"/>
    <w:rsid w:val="002105C9"/>
  </w:style>
  <w:style w:type="character" w:customStyle="1" w:styleId="afc">
    <w:name w:val="Символ нумерации"/>
    <w:link w:val="afb"/>
    <w:rsid w:val="002105C9"/>
  </w:style>
  <w:style w:type="character" w:customStyle="1" w:styleId="20">
    <w:name w:val="Заголовок 2 Знак"/>
    <w:basedOn w:val="10"/>
    <w:link w:val="2"/>
    <w:rsid w:val="002105C9"/>
    <w:rPr>
      <w:rFonts w:ascii="Cambria" w:hAnsi="Cambria"/>
      <w:b/>
      <w:i/>
      <w:sz w:val="28"/>
    </w:rPr>
  </w:style>
  <w:style w:type="paragraph" w:customStyle="1" w:styleId="afd">
    <w:name w:val="Обратный отступ"/>
    <w:basedOn w:val="a1"/>
    <w:link w:val="afe"/>
    <w:rsid w:val="002105C9"/>
    <w:pPr>
      <w:tabs>
        <w:tab w:val="left" w:pos="0"/>
      </w:tabs>
      <w:ind w:left="567" w:hanging="283"/>
    </w:pPr>
  </w:style>
  <w:style w:type="character" w:customStyle="1" w:styleId="afe">
    <w:name w:val="Обратный отступ"/>
    <w:basedOn w:val="a5"/>
    <w:link w:val="afd"/>
    <w:rsid w:val="002105C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2592</Words>
  <Characters>14779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2021-11-13T13:31:00Z</dcterms:created>
  <dcterms:modified xsi:type="dcterms:W3CDTF">2021-11-13T13:37:00Z</dcterms:modified>
</cp:coreProperties>
</file>