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DD" w:rsidRDefault="00C651A3">
      <w:pPr>
        <w:ind w:firstLine="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D134DD" w:rsidRDefault="00C651A3">
      <w:pPr>
        <w:ind w:firstLine="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D134DD" w:rsidRDefault="00D134DD">
      <w:pPr>
        <w:ind w:firstLine="709"/>
        <w:jc w:val="center"/>
        <w:rPr>
          <w:rFonts w:ascii="Bookman Old Style" w:hAnsi="Bookman Old Style"/>
          <w:b/>
        </w:rPr>
      </w:pPr>
    </w:p>
    <w:p w:rsidR="00D134DD" w:rsidRDefault="00C651A3">
      <w:pPr>
        <w:ind w:firstLine="709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D134DD" w:rsidRDefault="00C651A3">
      <w:pPr>
        <w:ind w:firstLine="709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D134DD" w:rsidRDefault="00D134DD">
      <w:pPr>
        <w:ind w:firstLine="709"/>
        <w:jc w:val="center"/>
        <w:rPr>
          <w:rFonts w:ascii="Bookman Old Style" w:hAnsi="Bookman Old Style"/>
          <w:b/>
          <w:sz w:val="32"/>
        </w:rPr>
      </w:pPr>
    </w:p>
    <w:p w:rsidR="00D134DD" w:rsidRDefault="00C651A3">
      <w:pPr>
        <w:ind w:firstLine="709"/>
        <w:jc w:val="center"/>
        <w:rPr>
          <w:rFonts w:ascii="Tahoma" w:hAnsi="Tahoma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D134DD" w:rsidRDefault="00D134DD">
      <w:pPr>
        <w:ind w:firstLine="709"/>
        <w:rPr>
          <w:b/>
        </w:rPr>
      </w:pPr>
    </w:p>
    <w:p w:rsidR="00D134DD" w:rsidRPr="00C651A3" w:rsidRDefault="00C651A3">
      <w:pPr>
        <w:rPr>
          <w:b/>
          <w:shd w:val="clear" w:color="auto" w:fill="FFD821"/>
        </w:rPr>
      </w:pPr>
      <w:r w:rsidRPr="00C651A3">
        <w:rPr>
          <w:b/>
        </w:rPr>
        <w:t>от 12</w:t>
      </w:r>
      <w:r w:rsidRPr="00C651A3">
        <w:rPr>
          <w:b/>
        </w:rPr>
        <w:t>.11.2021</w:t>
      </w:r>
      <w:r w:rsidRPr="00C651A3">
        <w:rPr>
          <w:b/>
        </w:rPr>
        <w:t xml:space="preserve"> года                                 №90</w:t>
      </w:r>
      <w:r w:rsidRPr="00C651A3">
        <w:rPr>
          <w:b/>
        </w:rPr>
        <w:t xml:space="preserve"> -па</w:t>
      </w:r>
    </w:p>
    <w:p w:rsidR="00D134DD" w:rsidRPr="00C651A3" w:rsidRDefault="00C651A3">
      <w:pPr>
        <w:ind w:right="4025"/>
        <w:jc w:val="both"/>
        <w:rPr>
          <w:b/>
        </w:rPr>
      </w:pPr>
      <w:r w:rsidRPr="00C651A3">
        <w:rPr>
          <w:b/>
        </w:rPr>
        <w:t xml:space="preserve">Об утверждении основных направлений </w:t>
      </w:r>
      <w:r w:rsidRPr="00C651A3">
        <w:rPr>
          <w:b/>
        </w:rPr>
        <w:t xml:space="preserve">бюджетной и налоговой политики </w:t>
      </w:r>
      <w:r w:rsidRPr="00C651A3">
        <w:rPr>
          <w:b/>
        </w:rPr>
        <w:t xml:space="preserve">муниципального </w:t>
      </w:r>
      <w:r w:rsidRPr="00C651A3">
        <w:rPr>
          <w:b/>
        </w:rPr>
        <w:t xml:space="preserve">образования </w:t>
      </w:r>
      <w:r w:rsidRPr="00C651A3">
        <w:rPr>
          <w:b/>
        </w:rPr>
        <w:t xml:space="preserve">«Нижнереутчанский сельсовет» Медвенского района Курской области </w:t>
      </w:r>
      <w:r w:rsidRPr="00C651A3">
        <w:rPr>
          <w:b/>
        </w:rPr>
        <w:t>на 2022 год и плановый период 2023 и 2024 годов</w:t>
      </w:r>
    </w:p>
    <w:p w:rsidR="00D134DD" w:rsidRPr="00C651A3" w:rsidRDefault="00D134DD">
      <w:pPr>
        <w:ind w:firstLine="709"/>
      </w:pPr>
    </w:p>
    <w:p w:rsidR="00D134DD" w:rsidRPr="00C651A3" w:rsidRDefault="00C651A3">
      <w:pPr>
        <w:ind w:firstLine="709"/>
        <w:jc w:val="both"/>
        <w:rPr>
          <w:sz w:val="28"/>
        </w:rPr>
      </w:pPr>
      <w:proofErr w:type="gramStart"/>
      <w:r w:rsidRPr="00C651A3">
        <w:rPr>
          <w:sz w:val="28"/>
        </w:rPr>
        <w:t xml:space="preserve">Руководствуясь статьей 172 Бюджетного кодекса Российской Федерации, </w:t>
      </w:r>
      <w:r w:rsidRPr="00C651A3">
        <w:rPr>
          <w:sz w:val="28"/>
        </w:rPr>
        <w:t>ст. 46 Устава муниципального образования «Нижнереутчанский сельсов</w:t>
      </w:r>
      <w:r w:rsidRPr="00C651A3">
        <w:rPr>
          <w:sz w:val="28"/>
        </w:rPr>
        <w:t xml:space="preserve">ет» Медвенского района Курской области, Положением о бюджетном процессе в муниципальном образовании «Нижнереутчанский сельсовет» </w:t>
      </w:r>
      <w:r w:rsidRPr="00C651A3">
        <w:rPr>
          <w:sz w:val="28"/>
        </w:rPr>
        <w:t>Медвенского района Курской области, рассмотрев и обсудив основные направления бюджетной и налоговой политики муниципального обра</w:t>
      </w:r>
      <w:r w:rsidRPr="00C651A3">
        <w:rPr>
          <w:sz w:val="28"/>
        </w:rPr>
        <w:t>зования «Нижнереутчанский сельсовет» Медвенского района Курской области, Администрация Нижнереутчанского сельсовета Медвенского района ПОСТАНОВЛЯЕТ:</w:t>
      </w:r>
      <w:proofErr w:type="gramEnd"/>
    </w:p>
    <w:p w:rsidR="00D134DD" w:rsidRPr="00C651A3" w:rsidRDefault="00C651A3">
      <w:pPr>
        <w:ind w:firstLine="709"/>
        <w:jc w:val="both"/>
        <w:rPr>
          <w:sz w:val="28"/>
        </w:rPr>
      </w:pPr>
      <w:r w:rsidRPr="00C651A3">
        <w:t>1.</w:t>
      </w:r>
      <w:r w:rsidRPr="00C651A3">
        <w:rPr>
          <w:sz w:val="28"/>
        </w:rPr>
        <w:t>Утвердить прилагаемые основные направления бюджетной политики муниципального образования «Нижнереутчански</w:t>
      </w:r>
      <w:r w:rsidRPr="00C651A3">
        <w:rPr>
          <w:sz w:val="28"/>
        </w:rPr>
        <w:t>й сельсовет» Медвенского района на 2022 год и плановый период 2023-2024годов. (Приложение №1).</w:t>
      </w:r>
    </w:p>
    <w:p w:rsidR="00D134DD" w:rsidRPr="00C651A3" w:rsidRDefault="00C651A3">
      <w:pPr>
        <w:ind w:firstLine="709"/>
        <w:jc w:val="both"/>
        <w:rPr>
          <w:sz w:val="28"/>
        </w:rPr>
      </w:pPr>
      <w:r w:rsidRPr="00C651A3">
        <w:rPr>
          <w:sz w:val="28"/>
        </w:rPr>
        <w:t>2. Утвердить прилагаемые основные направления налоговой политики муниципального образования «Нижнереутчанский сельсовет» Медвенского района на 2022 год и плановы</w:t>
      </w:r>
      <w:r w:rsidRPr="00C651A3">
        <w:rPr>
          <w:sz w:val="28"/>
        </w:rPr>
        <w:t>й период 2023-2024годов. (Приложение №2).</w:t>
      </w:r>
    </w:p>
    <w:p w:rsidR="00D134DD" w:rsidRPr="00C651A3" w:rsidRDefault="00C651A3">
      <w:pPr>
        <w:ind w:firstLine="709"/>
        <w:jc w:val="both"/>
        <w:rPr>
          <w:sz w:val="28"/>
        </w:rPr>
      </w:pPr>
      <w:r w:rsidRPr="00C651A3">
        <w:rPr>
          <w:sz w:val="28"/>
        </w:rPr>
        <w:t>3.Отделу бюджетного учета и отчетности Администрации Нижнереутчанского сельсовета Медвенского района Курской области  при составлении проекта бюджета на очередной финансовый год руководствоваться основными направле</w:t>
      </w:r>
      <w:r w:rsidRPr="00C651A3">
        <w:rPr>
          <w:sz w:val="28"/>
        </w:rPr>
        <w:t>ниями бюджетной и налоговой  политики муниципального образования «Нижнереутчанский сельсовет» Медвенского района Курской области на 2022-2024 годы, утвержденными настоящим постановлением.</w:t>
      </w:r>
    </w:p>
    <w:p w:rsidR="00D134DD" w:rsidRPr="00C651A3" w:rsidRDefault="00C651A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C651A3">
        <w:rPr>
          <w:rFonts w:ascii="Times New Roman" w:hAnsi="Times New Roman"/>
          <w:sz w:val="28"/>
        </w:rPr>
        <w:t>4. Контроль над исполнением настоящего постановления оставляю за соб</w:t>
      </w:r>
      <w:r w:rsidRPr="00C651A3">
        <w:rPr>
          <w:rFonts w:ascii="Times New Roman" w:hAnsi="Times New Roman"/>
          <w:sz w:val="28"/>
        </w:rPr>
        <w:t xml:space="preserve">ой </w:t>
      </w:r>
    </w:p>
    <w:p w:rsidR="00D134DD" w:rsidRPr="00C651A3" w:rsidRDefault="00C651A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C651A3">
        <w:rPr>
          <w:rFonts w:ascii="Times New Roman" w:hAnsi="Times New Roman"/>
          <w:sz w:val="28"/>
        </w:rPr>
        <w:t>5.Постановление вступает в силу со дня его подписания.</w:t>
      </w:r>
    </w:p>
    <w:p w:rsidR="00D134DD" w:rsidRPr="00C651A3" w:rsidRDefault="00D134DD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:rsidR="00D134DD" w:rsidRPr="00C651A3" w:rsidRDefault="00C651A3" w:rsidP="00C651A3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/>
          <w:sz w:val="28"/>
        </w:rPr>
      </w:pPr>
      <w:r w:rsidRPr="00C651A3">
        <w:rPr>
          <w:rFonts w:ascii="Times New Roman" w:hAnsi="Times New Roman"/>
          <w:sz w:val="28"/>
        </w:rPr>
        <w:t>Глава Нижнереутчанского сельсовета</w:t>
      </w:r>
      <w:r w:rsidRPr="00C651A3">
        <w:rPr>
          <w:rFonts w:ascii="Times New Roman" w:hAnsi="Times New Roman"/>
          <w:sz w:val="28"/>
        </w:rPr>
        <w:tab/>
        <w:t>П.В.Тришин</w:t>
      </w:r>
    </w:p>
    <w:p w:rsidR="00D134DD" w:rsidRPr="00C651A3" w:rsidRDefault="00C651A3">
      <w:pPr>
        <w:ind w:left="-851" w:right="-52" w:firstLine="709"/>
        <w:jc w:val="right"/>
      </w:pPr>
      <w:r w:rsidRPr="00C651A3">
        <w:lastRenderedPageBreak/>
        <w:t>Приложение №1</w:t>
      </w:r>
    </w:p>
    <w:p w:rsidR="00D134DD" w:rsidRPr="00C651A3" w:rsidRDefault="00C651A3">
      <w:pPr>
        <w:ind w:left="-851" w:right="-52" w:firstLine="709"/>
        <w:jc w:val="right"/>
      </w:pPr>
      <w:r w:rsidRPr="00C651A3">
        <w:t>к постановлению Администрации</w:t>
      </w:r>
    </w:p>
    <w:p w:rsidR="00D134DD" w:rsidRPr="00C651A3" w:rsidRDefault="00C651A3">
      <w:pPr>
        <w:ind w:left="-851" w:right="-52" w:firstLine="709"/>
        <w:jc w:val="right"/>
      </w:pPr>
      <w:r w:rsidRPr="00C651A3">
        <w:t>Нижнереутчанского сельсовета</w:t>
      </w:r>
    </w:p>
    <w:p w:rsidR="00D134DD" w:rsidRPr="00C651A3" w:rsidRDefault="00C651A3">
      <w:pPr>
        <w:ind w:left="-851" w:right="-52" w:firstLine="709"/>
        <w:jc w:val="right"/>
      </w:pPr>
      <w:r w:rsidRPr="00C651A3">
        <w:t>Медвенского района Курской области</w:t>
      </w:r>
    </w:p>
    <w:p w:rsidR="00D134DD" w:rsidRPr="00C651A3" w:rsidRDefault="00C651A3">
      <w:pPr>
        <w:ind w:left="-851" w:right="-52" w:firstLine="709"/>
        <w:jc w:val="right"/>
        <w:rPr>
          <w:shd w:val="clear" w:color="auto" w:fill="FFD821"/>
        </w:rPr>
      </w:pPr>
      <w:r w:rsidRPr="00C651A3">
        <w:t>от 12</w:t>
      </w:r>
      <w:r w:rsidRPr="00C651A3">
        <w:t>.11.2021</w:t>
      </w:r>
      <w:r w:rsidRPr="00C651A3">
        <w:t xml:space="preserve"> года № 90</w:t>
      </w:r>
      <w:r w:rsidRPr="00C651A3">
        <w:t>-па</w:t>
      </w:r>
    </w:p>
    <w:p w:rsidR="00D134DD" w:rsidRPr="00C651A3" w:rsidRDefault="00D134DD">
      <w:pPr>
        <w:ind w:left="-851" w:right="-52" w:firstLine="709"/>
        <w:jc w:val="right"/>
        <w:rPr>
          <w:sz w:val="20"/>
        </w:rPr>
      </w:pPr>
    </w:p>
    <w:p w:rsidR="00D134DD" w:rsidRPr="00C651A3" w:rsidRDefault="00D134DD">
      <w:pPr>
        <w:ind w:left="-851" w:right="-52" w:firstLine="709"/>
        <w:jc w:val="right"/>
        <w:rPr>
          <w:sz w:val="20"/>
        </w:rPr>
      </w:pPr>
    </w:p>
    <w:p w:rsidR="00D134DD" w:rsidRPr="00C651A3" w:rsidRDefault="00D134DD">
      <w:pPr>
        <w:spacing w:line="100" w:lineRule="atLeast"/>
        <w:ind w:left="5664"/>
        <w:jc w:val="right"/>
      </w:pPr>
    </w:p>
    <w:p w:rsidR="00D134DD" w:rsidRPr="00C651A3" w:rsidRDefault="00C651A3">
      <w:pPr>
        <w:spacing w:line="100" w:lineRule="atLeast"/>
        <w:ind w:firstLine="709"/>
        <w:jc w:val="center"/>
        <w:rPr>
          <w:sz w:val="28"/>
        </w:rPr>
      </w:pPr>
      <w:r w:rsidRPr="00C651A3">
        <w:rPr>
          <w:b/>
          <w:sz w:val="28"/>
        </w:rPr>
        <w:t xml:space="preserve">Основные направления налоговой </w:t>
      </w:r>
      <w:r w:rsidRPr="00C651A3">
        <w:rPr>
          <w:b/>
          <w:sz w:val="28"/>
        </w:rPr>
        <w:t xml:space="preserve">политики </w:t>
      </w:r>
      <w:r w:rsidRPr="00C651A3">
        <w:rPr>
          <w:b/>
          <w:sz w:val="28"/>
        </w:rPr>
        <w:t xml:space="preserve">МО «Нижнереутчанский сельсовет» Медвенского района Курской области на 2022 год </w:t>
      </w:r>
      <w:r w:rsidRPr="00C651A3">
        <w:rPr>
          <w:b/>
          <w:sz w:val="28"/>
        </w:rPr>
        <w:t xml:space="preserve">и на плановый период </w:t>
      </w:r>
      <w:r w:rsidRPr="00C651A3">
        <w:rPr>
          <w:b/>
          <w:sz w:val="28"/>
        </w:rPr>
        <w:t>2023 и 2024 годов</w:t>
      </w:r>
    </w:p>
    <w:p w:rsidR="00D134DD" w:rsidRPr="00C651A3" w:rsidRDefault="00D134DD">
      <w:pPr>
        <w:spacing w:line="100" w:lineRule="atLeast"/>
        <w:ind w:firstLine="709"/>
        <w:jc w:val="both"/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Основные направления налоговой политики МО «Нижнереутчанский сельсовет» на 2022 год и на планов</w:t>
      </w:r>
      <w:r w:rsidRPr="00C651A3">
        <w:t>ый период 2023 и 2024 годов подготовлены в соответствии с требованиями статьи 172 Бюджетного кодекса Российской Федерации.</w:t>
      </w:r>
    </w:p>
    <w:p w:rsidR="00D134DD" w:rsidRPr="00C651A3" w:rsidRDefault="00D134DD">
      <w:pPr>
        <w:spacing w:line="100" w:lineRule="atLeast"/>
        <w:jc w:val="both"/>
        <w:rPr>
          <w:b/>
        </w:rPr>
      </w:pPr>
    </w:p>
    <w:p w:rsidR="00D134DD" w:rsidRPr="00C651A3" w:rsidRDefault="00C651A3">
      <w:pPr>
        <w:spacing w:line="100" w:lineRule="atLeast"/>
        <w:jc w:val="center"/>
      </w:pPr>
      <w:r w:rsidRPr="00C651A3">
        <w:rPr>
          <w:b/>
        </w:rPr>
        <w:t>1. Основные результаты и проблемы налоговой политики</w:t>
      </w:r>
    </w:p>
    <w:p w:rsidR="00D134DD" w:rsidRPr="00C651A3" w:rsidRDefault="00D134DD">
      <w:pPr>
        <w:spacing w:line="100" w:lineRule="atLeast"/>
        <w:jc w:val="both"/>
      </w:pPr>
    </w:p>
    <w:p w:rsidR="00D134DD" w:rsidRPr="00C651A3" w:rsidRDefault="00C651A3">
      <w:pPr>
        <w:spacing w:line="100" w:lineRule="atLeast"/>
        <w:jc w:val="both"/>
        <w:rPr>
          <w:b/>
        </w:rPr>
      </w:pPr>
      <w:r w:rsidRPr="00C651A3">
        <w:tab/>
        <w:t>В 2021 году  налоговая политика МО «Нижнереутчанский сельсовет» была направле</w:t>
      </w:r>
      <w:r w:rsidRPr="00C651A3">
        <w:t>на на продолжение работы по повышению налогового потенциала поселения за счет  улучшения администрирования платежей, увеличения собираемости налогов.</w:t>
      </w:r>
    </w:p>
    <w:p w:rsidR="00D134DD" w:rsidRPr="00C651A3" w:rsidRDefault="00D134DD">
      <w:pPr>
        <w:spacing w:line="100" w:lineRule="atLeast"/>
        <w:ind w:left="360"/>
        <w:jc w:val="center"/>
        <w:rPr>
          <w:b/>
        </w:rPr>
      </w:pPr>
    </w:p>
    <w:p w:rsidR="00D134DD" w:rsidRPr="00C651A3" w:rsidRDefault="00C651A3">
      <w:pPr>
        <w:spacing w:line="100" w:lineRule="atLeast"/>
        <w:ind w:left="360"/>
        <w:jc w:val="center"/>
        <w:rPr>
          <w:b/>
        </w:rPr>
      </w:pPr>
      <w:r w:rsidRPr="00C651A3">
        <w:rPr>
          <w:b/>
        </w:rPr>
        <w:t xml:space="preserve">1.1. Основные </w:t>
      </w:r>
      <w:r w:rsidRPr="00C651A3">
        <w:rPr>
          <w:b/>
        </w:rPr>
        <w:t>проблемы налоговой политики.</w:t>
      </w:r>
    </w:p>
    <w:p w:rsidR="00D134DD" w:rsidRPr="00C651A3" w:rsidRDefault="00C651A3">
      <w:pPr>
        <w:spacing w:line="100" w:lineRule="atLeast"/>
        <w:jc w:val="both"/>
        <w:rPr>
          <w:b/>
          <w:color w:val="auto"/>
        </w:rPr>
      </w:pPr>
      <w:r w:rsidRPr="00C651A3">
        <w:tab/>
      </w:r>
    </w:p>
    <w:p w:rsidR="00D134DD" w:rsidRPr="00C651A3" w:rsidRDefault="00C651A3">
      <w:pPr>
        <w:spacing w:line="100" w:lineRule="atLeast"/>
        <w:jc w:val="both"/>
        <w:rPr>
          <w:b/>
          <w:color w:val="auto"/>
        </w:rPr>
      </w:pPr>
      <w:r w:rsidRPr="00C651A3">
        <w:rPr>
          <w:b/>
          <w:color w:val="auto"/>
        </w:rPr>
        <w:tab/>
      </w:r>
      <w:r w:rsidRPr="00C651A3">
        <w:rPr>
          <w:color w:val="auto"/>
        </w:rPr>
        <w:t>Улучшение налогового администрирования, реализация «дорожн</w:t>
      </w:r>
      <w:r w:rsidRPr="00C651A3">
        <w:rPr>
          <w:color w:val="auto"/>
        </w:rPr>
        <w:t>ых карт» по мобилизации доходов в бюджет повысило роль имущественных налогов в формировании местного бюджет. Администрацией Нижнереутчанского  сельсовета принимаются все меры  для увеличения налогового потенциала поселения. Проводятся мероприятия по выявле</w:t>
      </w:r>
      <w:r w:rsidRPr="00C651A3">
        <w:rPr>
          <w:color w:val="auto"/>
        </w:rPr>
        <w:t>нию земельных участков, используемых с нарушениями, находящихся в пользовании без соответствующего закрепления (оформления), используемых не по целевому назначению. Для повышения собираемости земельного налога необходимо продолжить работу по актуализации с</w:t>
      </w:r>
      <w:r w:rsidRPr="00C651A3">
        <w:rPr>
          <w:color w:val="auto"/>
        </w:rPr>
        <w:t>ведений о земельных участках, учтенных в реестре объектов недвижимости, в части сведений о правообладателях земельных участков.</w:t>
      </w:r>
    </w:p>
    <w:p w:rsidR="00D134DD" w:rsidRPr="00C651A3" w:rsidRDefault="00D134DD">
      <w:pPr>
        <w:spacing w:line="100" w:lineRule="atLeast"/>
        <w:jc w:val="both"/>
        <w:rPr>
          <w:b/>
          <w:color w:val="auto"/>
        </w:rPr>
      </w:pPr>
    </w:p>
    <w:p w:rsidR="00D134DD" w:rsidRPr="00C651A3" w:rsidRDefault="00C651A3">
      <w:pPr>
        <w:spacing w:line="100" w:lineRule="atLeast"/>
        <w:ind w:firstLine="709"/>
        <w:jc w:val="center"/>
        <w:rPr>
          <w:b/>
        </w:rPr>
      </w:pPr>
      <w:r w:rsidRPr="00C651A3">
        <w:rPr>
          <w:b/>
        </w:rPr>
        <w:t>2.Основные задачи налоговой политики</w:t>
      </w:r>
    </w:p>
    <w:p w:rsidR="00D134DD" w:rsidRPr="00C651A3" w:rsidRDefault="00D134DD">
      <w:pPr>
        <w:spacing w:line="100" w:lineRule="atLeast"/>
        <w:ind w:firstLine="709"/>
        <w:jc w:val="center"/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Основными задачами налоговой политики являются: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 xml:space="preserve">- обеспечение неизменности налоговой </w:t>
      </w:r>
      <w:r w:rsidRPr="00C651A3">
        <w:t>политики;</w:t>
      </w:r>
    </w:p>
    <w:p w:rsidR="00D134DD" w:rsidRPr="00C651A3" w:rsidRDefault="00C651A3">
      <w:pPr>
        <w:spacing w:line="100" w:lineRule="atLeast"/>
        <w:ind w:firstLine="709"/>
        <w:jc w:val="both"/>
        <w:rPr>
          <w:b/>
        </w:rPr>
      </w:pPr>
      <w:r w:rsidRPr="00C651A3">
        <w:t>- усиление мер по укреплению налоговой дисциплины налогоплательщиков.</w:t>
      </w:r>
    </w:p>
    <w:p w:rsidR="00D134DD" w:rsidRPr="00C651A3" w:rsidRDefault="00D134DD">
      <w:pPr>
        <w:spacing w:line="100" w:lineRule="atLeast"/>
        <w:jc w:val="center"/>
        <w:rPr>
          <w:b/>
        </w:rPr>
      </w:pPr>
    </w:p>
    <w:p w:rsidR="00D134DD" w:rsidRPr="00C651A3" w:rsidRDefault="00C651A3">
      <w:pPr>
        <w:spacing w:line="100" w:lineRule="atLeast"/>
        <w:jc w:val="center"/>
        <w:rPr>
          <w:b/>
        </w:rPr>
      </w:pPr>
      <w:r w:rsidRPr="00C651A3">
        <w:rPr>
          <w:b/>
        </w:rPr>
        <w:t>3. Основные направления налоговой политики МО «Нижнереутчанский сельсовет» на 2022 год и на плановый период 2023 и 2024 годов</w:t>
      </w:r>
    </w:p>
    <w:p w:rsidR="00D134DD" w:rsidRPr="00C651A3" w:rsidRDefault="00D134DD">
      <w:pPr>
        <w:spacing w:line="100" w:lineRule="atLeast"/>
        <w:jc w:val="center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Налоговая политика МО «Нижнереутчанский сельсове</w:t>
      </w:r>
      <w:r w:rsidRPr="00C651A3">
        <w:t xml:space="preserve">т» определена с учетом основных направлений налоговой политики Российской Федерации и Курской области на 2021 год и на плановый период 2022 и 2023 годов и ориентирована на мобилизацию собственных доходов.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целях обеспечения устойчивого роста налоговых по</w:t>
      </w:r>
      <w:r w:rsidRPr="00C651A3">
        <w:t>ступлений необходимо определить пути расширения налоговой базы основных видов налогов.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Рост бюджетных поступлений планируется достичь за счет: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усиления работы по неплатежам в местный бюджет;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повышения уровня ответственности главных администраторов дохо</w:t>
      </w:r>
      <w:r w:rsidRPr="00C651A3">
        <w:t>дов за выполнение плановых показателей поступления доходов в бюджет МО;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-проведения оценки социальной и бюджетной эффективности установленных на местном уровне налоговых льгот и отмены неэффективных налоговых льгот;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совершенствования управления муниципал</w:t>
      </w:r>
      <w:r w:rsidRPr="00C651A3">
        <w:t>ьной собственностью путем: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а) повышения эффективности управления муниципальным имуществом и земельными участками;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б) обеспечения сохранности муниципального имущества;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 xml:space="preserve">в) проведения инвентаризации муниципального недвижимого имущества и внесения предложений </w:t>
      </w:r>
      <w:r w:rsidRPr="00C651A3">
        <w:t>по результатам инвентаризации в части дальнейшего использования имущества.</w:t>
      </w:r>
    </w:p>
    <w:p w:rsidR="00D134DD" w:rsidRPr="00C651A3" w:rsidRDefault="00C651A3">
      <w:pPr>
        <w:spacing w:line="100" w:lineRule="atLeast"/>
        <w:ind w:firstLine="709"/>
        <w:jc w:val="both"/>
        <w:rPr>
          <w:b/>
        </w:rPr>
      </w:pPr>
      <w:r w:rsidRPr="00C651A3">
        <w:t>На 2022-2024 годы сохраняется преемственность следующих направлений налоговой политики.</w:t>
      </w:r>
    </w:p>
    <w:p w:rsidR="00D134DD" w:rsidRPr="00C651A3" w:rsidRDefault="00D134DD">
      <w:pPr>
        <w:tabs>
          <w:tab w:val="left" w:pos="2055"/>
          <w:tab w:val="center" w:pos="4961"/>
        </w:tabs>
        <w:spacing w:line="100" w:lineRule="atLeast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center"/>
        <w:rPr>
          <w:b/>
        </w:rPr>
      </w:pPr>
      <w:r w:rsidRPr="00C651A3">
        <w:rPr>
          <w:b/>
        </w:rPr>
        <w:t>3.1. Совершенствование  налогообложения.</w:t>
      </w:r>
    </w:p>
    <w:p w:rsidR="00D134DD" w:rsidRPr="00C651A3" w:rsidRDefault="00D134DD">
      <w:pPr>
        <w:spacing w:line="100" w:lineRule="atLeast"/>
        <w:jc w:val="center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center"/>
        <w:rPr>
          <w:b/>
        </w:rPr>
      </w:pPr>
      <w:r w:rsidRPr="00C651A3">
        <w:rPr>
          <w:b/>
        </w:rPr>
        <w:t>Налог на доходы физических лиц</w:t>
      </w:r>
    </w:p>
    <w:p w:rsidR="00D134DD" w:rsidRPr="00C651A3" w:rsidRDefault="00D134DD">
      <w:pPr>
        <w:spacing w:line="100" w:lineRule="atLeast"/>
        <w:ind w:firstLine="709"/>
        <w:jc w:val="center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долгосрочном пер</w:t>
      </w:r>
      <w:r w:rsidRPr="00C651A3">
        <w:t>иоде будет сохранена действующая система налогообложения доходов физических лиц с единой ставкой для большинства видов доходов в размере 13 процентов. Введение прогрессивной шкалы налогообложения доходов физических лиц не планируется.</w:t>
      </w:r>
    </w:p>
    <w:p w:rsidR="00D134DD" w:rsidRPr="00C651A3" w:rsidRDefault="00C651A3">
      <w:pPr>
        <w:spacing w:line="100" w:lineRule="atLeast"/>
        <w:jc w:val="both"/>
      </w:pPr>
      <w:r w:rsidRPr="00C651A3">
        <w:tab/>
        <w:t xml:space="preserve">Налог на доходы </w:t>
      </w:r>
      <w:r w:rsidRPr="00C651A3">
        <w:t xml:space="preserve">физических лиц является налогом с населения и  поступает в бюджет МО, </w:t>
      </w:r>
      <w:proofErr w:type="gramStart"/>
      <w:r w:rsidRPr="00C651A3">
        <w:t>согласно норматива</w:t>
      </w:r>
      <w:proofErr w:type="gramEnd"/>
      <w:r w:rsidRPr="00C651A3">
        <w:t xml:space="preserve"> отчисления в бюджет поселения.</w:t>
      </w:r>
    </w:p>
    <w:p w:rsidR="00D134DD" w:rsidRPr="00C651A3" w:rsidRDefault="00C651A3">
      <w:pPr>
        <w:spacing w:line="100" w:lineRule="atLeast"/>
        <w:ind w:firstLine="709"/>
        <w:jc w:val="both"/>
        <w:rPr>
          <w:b/>
        </w:rPr>
      </w:pPr>
      <w:r w:rsidRPr="00C651A3">
        <w:t>Основной задачей налоговой политики МО в отношении налога на доходы физических лиц является принятие мер, направленных на повышение дисц</w:t>
      </w:r>
      <w:r w:rsidRPr="00C651A3">
        <w:t xml:space="preserve">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агентов, применения «серых </w:t>
      </w:r>
      <w:r w:rsidRPr="00C651A3">
        <w:t>схем» выплаты заработной платы.</w:t>
      </w:r>
    </w:p>
    <w:p w:rsidR="00D134DD" w:rsidRPr="00C651A3" w:rsidRDefault="00D134DD">
      <w:pPr>
        <w:spacing w:line="100" w:lineRule="atLeast"/>
        <w:jc w:val="center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center"/>
      </w:pPr>
      <w:r w:rsidRPr="00C651A3">
        <w:rPr>
          <w:b/>
        </w:rPr>
        <w:t>Налог на имущество</w:t>
      </w:r>
    </w:p>
    <w:p w:rsidR="00D134DD" w:rsidRPr="00C651A3" w:rsidRDefault="00D134DD">
      <w:pPr>
        <w:spacing w:line="100" w:lineRule="atLeast"/>
        <w:ind w:firstLine="709"/>
        <w:jc w:val="center"/>
      </w:pPr>
    </w:p>
    <w:p w:rsidR="00D134DD" w:rsidRPr="00C651A3" w:rsidRDefault="00C651A3">
      <w:pPr>
        <w:ind w:firstLine="709"/>
        <w:jc w:val="both"/>
      </w:pPr>
      <w:proofErr w:type="gramStart"/>
      <w:r w:rsidRPr="00C651A3"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№ 42/215 от 22.09.2015г Нижнереутчанского сельсовета Медвенского района  Курской области </w:t>
      </w:r>
      <w:r w:rsidRPr="00C651A3">
        <w:t>в целях повышения доходов местно</w:t>
      </w:r>
      <w:r w:rsidRPr="00C651A3">
        <w:t>го  бюджета с 01 января 2016 года ввело на территории МО «Нижнереутчанский сельсовет» налог на имущество физических лиц от кадастровой стоимости  объектов налогообложения.</w:t>
      </w:r>
      <w:proofErr w:type="gramEnd"/>
    </w:p>
    <w:p w:rsidR="00D134DD" w:rsidRPr="00C651A3" w:rsidRDefault="00C651A3">
      <w:pPr>
        <w:ind w:firstLine="709"/>
        <w:jc w:val="both"/>
      </w:pPr>
      <w:r w:rsidRPr="00C651A3">
        <w:t>Налог на имущество физических лиц вводится в действие в соответствии с законодательс</w:t>
      </w:r>
      <w:r w:rsidRPr="00C651A3">
        <w:t xml:space="preserve">твом Российской Федерации и обязателен к уплате на территории муниципального образования. </w:t>
      </w:r>
    </w:p>
    <w:p w:rsidR="00D134DD" w:rsidRPr="00C651A3" w:rsidRDefault="00C651A3">
      <w:pPr>
        <w:jc w:val="both"/>
      </w:pPr>
      <w:r w:rsidRPr="00C651A3">
        <w:t>2. Налоговые ставки устанавливаются в следующих размерах:</w:t>
      </w:r>
    </w:p>
    <w:p w:rsidR="00D134DD" w:rsidRPr="00C651A3" w:rsidRDefault="00C651A3">
      <w:pPr>
        <w:ind w:firstLine="851"/>
        <w:jc w:val="both"/>
      </w:pPr>
      <w:r w:rsidRPr="00C651A3">
        <w:t>1)  0,18 процента в отношении:</w:t>
      </w:r>
    </w:p>
    <w:p w:rsidR="00D134DD" w:rsidRPr="00C651A3" w:rsidRDefault="00C651A3">
      <w:pPr>
        <w:ind w:firstLine="851"/>
        <w:jc w:val="both"/>
      </w:pPr>
      <w:r w:rsidRPr="00C651A3">
        <w:t>жилых домов, частей жилых домов, квартир, частей квартир, комнат;</w:t>
      </w:r>
    </w:p>
    <w:p w:rsidR="00D134DD" w:rsidRPr="00C651A3" w:rsidRDefault="00C651A3">
      <w:pPr>
        <w:ind w:firstLine="851"/>
        <w:jc w:val="both"/>
      </w:pPr>
      <w:r w:rsidRPr="00C651A3">
        <w:t>объектов н</w:t>
      </w:r>
      <w:r w:rsidRPr="00C651A3">
        <w:t>езавершенного строительства в случае, если проектируемым  назначением таких объектов является жилой дом;</w:t>
      </w:r>
    </w:p>
    <w:p w:rsidR="00D134DD" w:rsidRPr="00C651A3" w:rsidRDefault="00C651A3">
      <w:pPr>
        <w:ind w:firstLine="851"/>
        <w:jc w:val="both"/>
      </w:pPr>
      <w:r w:rsidRPr="00C651A3">
        <w:t>единых недвижимых комплексов, в состав которых входит хотя бы одно жилое помещение (жилой дом);</w:t>
      </w:r>
    </w:p>
    <w:p w:rsidR="00D134DD" w:rsidRPr="00C651A3" w:rsidRDefault="00C651A3">
      <w:pPr>
        <w:ind w:firstLine="851"/>
        <w:jc w:val="both"/>
      </w:pPr>
      <w:r w:rsidRPr="00C651A3">
        <w:t xml:space="preserve">гаражей и </w:t>
      </w:r>
      <w:proofErr w:type="spellStart"/>
      <w:r w:rsidRPr="00C651A3">
        <w:t>машино</w:t>
      </w:r>
      <w:proofErr w:type="spellEnd"/>
      <w:r w:rsidRPr="00C651A3">
        <w:t>–</w:t>
      </w:r>
      <w:r w:rsidRPr="00C651A3">
        <w:t>мест, в том числе расположенных в об</w:t>
      </w:r>
      <w:r w:rsidRPr="00C651A3">
        <w:t>ъектах налогообложения, указанных в подпункте 2 настоящего пункта;</w:t>
      </w:r>
    </w:p>
    <w:p w:rsidR="00D134DD" w:rsidRPr="00C651A3" w:rsidRDefault="00C651A3">
      <w:pPr>
        <w:ind w:firstLine="851"/>
        <w:jc w:val="both"/>
      </w:pPr>
      <w:r w:rsidRPr="00C651A3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</w:t>
      </w:r>
      <w:r w:rsidRPr="00C651A3">
        <w:t>го, дачного хозяйства, огородничества, садоводства или индивидуального жилищного строительства;</w:t>
      </w:r>
    </w:p>
    <w:p w:rsidR="00D134DD" w:rsidRPr="00C651A3" w:rsidRDefault="00C651A3">
      <w:pPr>
        <w:ind w:firstLine="851"/>
        <w:jc w:val="both"/>
      </w:pPr>
      <w:proofErr w:type="gramStart"/>
      <w:r w:rsidRPr="00C651A3"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C651A3">
        <w:rPr>
          <w:vertAlign w:val="superscript"/>
        </w:rPr>
        <w:t xml:space="preserve">2 </w:t>
      </w:r>
      <w:r w:rsidRPr="00C651A3">
        <w:t>Налогового кодекса Российской Фед</w:t>
      </w:r>
      <w:r w:rsidRPr="00C651A3">
        <w:t>ерации, в отношении объектов налогообложения,  предусмотренных абзацем вторым пункта 10 статьи 378</w:t>
      </w:r>
      <w:r w:rsidRPr="00C651A3">
        <w:rPr>
          <w:vertAlign w:val="superscript"/>
        </w:rPr>
        <w:t>2</w:t>
      </w:r>
      <w:r w:rsidRPr="00C651A3"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</w:t>
      </w:r>
      <w:r w:rsidRPr="00C651A3">
        <w:t>ей;</w:t>
      </w:r>
      <w:proofErr w:type="gramEnd"/>
    </w:p>
    <w:p w:rsidR="00D134DD" w:rsidRPr="00C651A3" w:rsidRDefault="00C651A3">
      <w:pPr>
        <w:ind w:firstLine="851"/>
        <w:jc w:val="both"/>
      </w:pPr>
      <w:r w:rsidRPr="00C651A3">
        <w:t xml:space="preserve">3) 0,5 процента в отношении прочих объектов налогообложения.  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имуществу, включая земельные участки, и и</w:t>
      </w:r>
      <w:r w:rsidRPr="00C651A3">
        <w:t xml:space="preserve">х правообладателях. </w:t>
      </w:r>
    </w:p>
    <w:p w:rsidR="00D134DD" w:rsidRPr="00C651A3" w:rsidRDefault="00C651A3">
      <w:pPr>
        <w:spacing w:line="100" w:lineRule="atLeast"/>
        <w:ind w:firstLine="709"/>
        <w:jc w:val="both"/>
        <w:rPr>
          <w:b/>
        </w:rPr>
      </w:pPr>
      <w:r w:rsidRPr="00C651A3">
        <w:t xml:space="preserve">В настоящее время имеется ряд проблем,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собственниках. </w:t>
      </w:r>
    </w:p>
    <w:p w:rsidR="00D134DD" w:rsidRPr="00C651A3" w:rsidRDefault="00D134DD">
      <w:pPr>
        <w:spacing w:line="100" w:lineRule="atLeast"/>
        <w:jc w:val="center"/>
        <w:rPr>
          <w:b/>
        </w:rPr>
      </w:pPr>
    </w:p>
    <w:p w:rsidR="00D134DD" w:rsidRPr="00C651A3" w:rsidRDefault="00C651A3">
      <w:pPr>
        <w:spacing w:line="100" w:lineRule="atLeast"/>
        <w:jc w:val="center"/>
        <w:rPr>
          <w:b/>
        </w:rPr>
      </w:pPr>
      <w:r w:rsidRPr="00C651A3">
        <w:rPr>
          <w:b/>
        </w:rPr>
        <w:t>Земельный налог</w:t>
      </w:r>
    </w:p>
    <w:p w:rsidR="00D134DD" w:rsidRPr="00C651A3" w:rsidRDefault="00D134DD">
      <w:pPr>
        <w:spacing w:line="100" w:lineRule="atLeast"/>
        <w:jc w:val="both"/>
        <w:rPr>
          <w:b/>
        </w:rPr>
      </w:pPr>
    </w:p>
    <w:p w:rsidR="00D134DD" w:rsidRPr="00C651A3" w:rsidRDefault="00C651A3">
      <w:pPr>
        <w:spacing w:line="100" w:lineRule="atLeast"/>
        <w:jc w:val="both"/>
      </w:pPr>
      <w:r w:rsidRPr="00C651A3">
        <w:tab/>
        <w:t xml:space="preserve">С 01 января 2011 года по земельному налогу установлены максимальные ставки от кадастровой стоимости земельных участков следующих </w:t>
      </w:r>
      <w:proofErr w:type="gramStart"/>
      <w:r w:rsidRPr="00C651A3">
        <w:t>размерах</w:t>
      </w:r>
      <w:proofErr w:type="gramEnd"/>
      <w:r w:rsidRPr="00C651A3">
        <w:t>: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1</w:t>
      </w:r>
      <w:r w:rsidRPr="00C651A3">
        <w:t xml:space="preserve">) 0,3 процента от кадастровой стоимости в отношении земельных участков: 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 xml:space="preserve">- отнесенных к землям </w:t>
      </w:r>
      <w:r w:rsidRPr="00C651A3">
        <w:t>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 xml:space="preserve">- </w:t>
      </w:r>
      <w:proofErr w:type="gramStart"/>
      <w:r w:rsidRPr="00C651A3">
        <w:t>занятых</w:t>
      </w:r>
      <w:proofErr w:type="gramEnd"/>
      <w:r w:rsidRPr="00C651A3">
        <w:t xml:space="preserve"> жилищным фондом и объектами инженерной инфраструктуры жилищно-коммунальног</w:t>
      </w:r>
      <w:r w:rsidRPr="00C651A3">
        <w:t>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 xml:space="preserve">- </w:t>
      </w:r>
      <w:proofErr w:type="gramStart"/>
      <w:r w:rsidRPr="00C651A3">
        <w:t>приобретенных</w:t>
      </w:r>
      <w:proofErr w:type="gramEnd"/>
      <w:r w:rsidRPr="00C651A3"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D134DD" w:rsidRPr="00C651A3" w:rsidRDefault="00C651A3">
      <w:pPr>
        <w:spacing w:line="100" w:lineRule="atLeast"/>
        <w:ind w:firstLine="567"/>
        <w:jc w:val="both"/>
        <w:rPr>
          <w:color w:val="auto"/>
        </w:rPr>
      </w:pPr>
      <w:r w:rsidRPr="00C651A3">
        <w:t>2) 1,5 процента от кадастровой стоимости в отношении прочих земельных участков.</w:t>
      </w:r>
    </w:p>
    <w:p w:rsidR="00D134DD" w:rsidRPr="00C651A3" w:rsidRDefault="00D134DD">
      <w:pPr>
        <w:spacing w:line="100" w:lineRule="atLeast"/>
        <w:jc w:val="center"/>
        <w:rPr>
          <w:color w:val="auto"/>
        </w:rPr>
      </w:pPr>
    </w:p>
    <w:p w:rsidR="00D134DD" w:rsidRPr="00C651A3" w:rsidRDefault="00C651A3">
      <w:pPr>
        <w:spacing w:line="100" w:lineRule="atLeast"/>
        <w:jc w:val="center"/>
        <w:rPr>
          <w:highlight w:val="green"/>
        </w:rPr>
      </w:pPr>
      <w:r w:rsidRPr="00C651A3">
        <w:rPr>
          <w:b/>
        </w:rPr>
        <w:t>3.2. Отдельные показатели прогн</w:t>
      </w:r>
      <w:r w:rsidRPr="00C651A3">
        <w:rPr>
          <w:b/>
        </w:rPr>
        <w:t>оза социально-экономического развития Нижнереутчанского сельсовета положенные в основу формирования налоговой политики на 2022-2024 годы</w:t>
      </w:r>
    </w:p>
    <w:p w:rsidR="00D134DD" w:rsidRPr="00C651A3" w:rsidRDefault="00D134DD">
      <w:pPr>
        <w:spacing w:line="100" w:lineRule="atLeast"/>
        <w:ind w:firstLine="709"/>
        <w:jc w:val="center"/>
        <w:rPr>
          <w:highlight w:val="green"/>
        </w:rPr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основу формирования налоговой политики поселения на 2022 год и среднесрочную перспективу до 2024 года положены основ</w:t>
      </w:r>
      <w:r w:rsidRPr="00C651A3">
        <w:t>ные показатели прогноза социально-экономического развития Нижнереутчанского сельсовета  на 2022-2024 год</w:t>
      </w:r>
    </w:p>
    <w:p w:rsidR="00D134DD" w:rsidRPr="00C651A3" w:rsidRDefault="00D134DD">
      <w:pPr>
        <w:spacing w:line="100" w:lineRule="atLeast"/>
        <w:ind w:firstLine="709"/>
        <w:jc w:val="center"/>
        <w:rPr>
          <w:b/>
        </w:rPr>
      </w:pPr>
    </w:p>
    <w:p w:rsidR="00D134DD" w:rsidRPr="00C651A3" w:rsidRDefault="00C651A3">
      <w:pPr>
        <w:spacing w:line="100" w:lineRule="atLeast"/>
        <w:ind w:firstLine="709"/>
        <w:jc w:val="center"/>
        <w:rPr>
          <w:b/>
        </w:rPr>
      </w:pPr>
      <w:r w:rsidRPr="00C651A3">
        <w:rPr>
          <w:b/>
        </w:rPr>
        <w:t>Неналоговые доходы</w:t>
      </w:r>
    </w:p>
    <w:p w:rsidR="00D134DD" w:rsidRPr="00C651A3" w:rsidRDefault="00D134DD">
      <w:pPr>
        <w:spacing w:line="100" w:lineRule="atLeast"/>
        <w:rPr>
          <w:b/>
        </w:rPr>
      </w:pPr>
    </w:p>
    <w:p w:rsidR="00D134DD" w:rsidRPr="00C651A3" w:rsidRDefault="00C651A3">
      <w:pPr>
        <w:spacing w:line="100" w:lineRule="atLeast"/>
        <w:jc w:val="center"/>
      </w:pPr>
      <w:r w:rsidRPr="00C651A3">
        <w:rPr>
          <w:b/>
        </w:rPr>
        <w:t>Основные задачи и цели по увеличению неналоговых доходов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целях увеличения поступлений в бюджет МО неналоговых доходов необходимо</w:t>
      </w:r>
      <w:r w:rsidRPr="00C651A3">
        <w:t xml:space="preserve"> следующее: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 xml:space="preserve">- отчуждение и перепрофилирование муниципального имущества,  которое не используется для решения вопросов местного значения;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 xml:space="preserve">- решение вопросов по оформлению собственности на земельные участки и недвижимое имущество;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анализ эффективности ис</w:t>
      </w:r>
      <w:r w:rsidRPr="00C651A3">
        <w:t>пользования муниципального имущества;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</w:p>
    <w:p w:rsidR="00D134DD" w:rsidRPr="00C651A3" w:rsidRDefault="00C651A3">
      <w:pPr>
        <w:spacing w:line="100" w:lineRule="atLeast"/>
        <w:ind w:firstLine="709"/>
        <w:jc w:val="both"/>
        <w:rPr>
          <w:b/>
          <w:color w:val="auto"/>
        </w:rPr>
      </w:pPr>
      <w:r w:rsidRPr="00C651A3">
        <w:t xml:space="preserve">- осуществление </w:t>
      </w:r>
      <w:proofErr w:type="gramStart"/>
      <w:r w:rsidRPr="00C651A3">
        <w:t>контроля за</w:t>
      </w:r>
      <w:proofErr w:type="gramEnd"/>
      <w:r w:rsidRPr="00C651A3">
        <w:t xml:space="preserve"> поступлением средств от использования муниципальной собств</w:t>
      </w:r>
      <w:r w:rsidRPr="00C651A3">
        <w:t>енности</w:t>
      </w:r>
      <w:r w:rsidRPr="00C651A3">
        <w:rPr>
          <w:color w:val="auto"/>
        </w:rPr>
        <w:t>.</w:t>
      </w:r>
    </w:p>
    <w:p w:rsidR="00D134DD" w:rsidRPr="00C651A3" w:rsidRDefault="00D134DD">
      <w:pPr>
        <w:spacing w:line="100" w:lineRule="atLeast"/>
        <w:ind w:firstLine="709"/>
        <w:jc w:val="center"/>
        <w:rPr>
          <w:b/>
          <w:color w:val="auto"/>
        </w:rPr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firstLine="540"/>
        <w:jc w:val="right"/>
      </w:pPr>
    </w:p>
    <w:p w:rsidR="00D134DD" w:rsidRPr="00C651A3" w:rsidRDefault="00D134DD">
      <w:pPr>
        <w:spacing w:line="100" w:lineRule="atLeast"/>
        <w:ind w:left="360"/>
        <w:jc w:val="center"/>
        <w:rPr>
          <w:b/>
        </w:rPr>
      </w:pPr>
    </w:p>
    <w:p w:rsidR="00D134DD" w:rsidRPr="00C651A3" w:rsidRDefault="00D134DD">
      <w:pPr>
        <w:spacing w:line="100" w:lineRule="atLeast"/>
        <w:ind w:left="360"/>
        <w:jc w:val="center"/>
        <w:rPr>
          <w:b/>
        </w:rPr>
      </w:pPr>
    </w:p>
    <w:p w:rsidR="00D134DD" w:rsidRDefault="00D134DD">
      <w:pPr>
        <w:ind w:left="-851" w:right="-52" w:firstLine="709"/>
        <w:jc w:val="right"/>
      </w:pPr>
    </w:p>
    <w:p w:rsidR="00D134DD" w:rsidRPr="00C651A3" w:rsidRDefault="00C651A3">
      <w:pPr>
        <w:ind w:left="-851" w:right="-52" w:firstLine="709"/>
        <w:jc w:val="right"/>
      </w:pPr>
      <w:r w:rsidRPr="00C651A3">
        <w:t>Приложение №2</w:t>
      </w:r>
    </w:p>
    <w:p w:rsidR="00D134DD" w:rsidRPr="00C651A3" w:rsidRDefault="00C651A3">
      <w:pPr>
        <w:ind w:left="-851" w:right="-52" w:firstLine="709"/>
        <w:jc w:val="right"/>
      </w:pPr>
      <w:r w:rsidRPr="00C651A3">
        <w:t>к постановлению Администрации</w:t>
      </w:r>
    </w:p>
    <w:p w:rsidR="00D134DD" w:rsidRPr="00C651A3" w:rsidRDefault="00C651A3">
      <w:pPr>
        <w:ind w:left="-851" w:right="-52" w:firstLine="709"/>
        <w:jc w:val="right"/>
      </w:pPr>
      <w:r w:rsidRPr="00C651A3">
        <w:t>Нижнереутчанского сельсовета</w:t>
      </w:r>
    </w:p>
    <w:p w:rsidR="00D134DD" w:rsidRPr="00C651A3" w:rsidRDefault="00C651A3">
      <w:pPr>
        <w:ind w:left="-851" w:right="-52" w:firstLine="709"/>
        <w:jc w:val="right"/>
      </w:pPr>
      <w:r w:rsidRPr="00C651A3">
        <w:t>Медвенского района Курской области</w:t>
      </w:r>
    </w:p>
    <w:p w:rsidR="00D134DD" w:rsidRPr="00C651A3" w:rsidRDefault="00C651A3">
      <w:pPr>
        <w:ind w:left="-851" w:right="-52" w:firstLine="709"/>
        <w:jc w:val="right"/>
        <w:rPr>
          <w:shd w:val="clear" w:color="auto" w:fill="FFD821"/>
        </w:rPr>
      </w:pPr>
      <w:r w:rsidRPr="00C651A3">
        <w:t>от 12</w:t>
      </w:r>
      <w:r w:rsidRPr="00C651A3">
        <w:t>.11.2021</w:t>
      </w:r>
      <w:r w:rsidRPr="00C651A3">
        <w:t xml:space="preserve"> года № 90</w:t>
      </w:r>
      <w:r w:rsidRPr="00C651A3">
        <w:t>-па</w:t>
      </w:r>
    </w:p>
    <w:p w:rsidR="00D134DD" w:rsidRPr="00C651A3" w:rsidRDefault="00D134DD">
      <w:pPr>
        <w:spacing w:line="100" w:lineRule="atLeast"/>
        <w:ind w:left="360"/>
        <w:jc w:val="center"/>
        <w:rPr>
          <w:b/>
          <w:shd w:val="clear" w:color="auto" w:fill="FFD821"/>
        </w:rPr>
      </w:pPr>
    </w:p>
    <w:p w:rsidR="00D134DD" w:rsidRPr="00C651A3" w:rsidRDefault="00C651A3">
      <w:pPr>
        <w:spacing w:line="100" w:lineRule="atLeast"/>
        <w:ind w:left="360"/>
        <w:jc w:val="center"/>
        <w:rPr>
          <w:b/>
          <w:color w:val="auto"/>
        </w:rPr>
      </w:pPr>
      <w:r w:rsidRPr="00C651A3">
        <w:rPr>
          <w:b/>
        </w:rPr>
        <w:t xml:space="preserve">Основные направления бюджетной политики муниципального </w:t>
      </w:r>
      <w:r w:rsidRPr="00C651A3">
        <w:rPr>
          <w:b/>
        </w:rPr>
        <w:t>образования «Нижнереутчанский сельсовет» Медвенского района Курской области на 2022 год и плановые периоды 2023 и 2024 годов</w:t>
      </w:r>
    </w:p>
    <w:p w:rsidR="00D134DD" w:rsidRPr="00C651A3" w:rsidRDefault="00D134DD">
      <w:pPr>
        <w:spacing w:line="100" w:lineRule="atLeast"/>
        <w:jc w:val="center"/>
        <w:rPr>
          <w:color w:val="auto"/>
        </w:rPr>
      </w:pPr>
    </w:p>
    <w:p w:rsidR="00D134DD" w:rsidRPr="00C651A3" w:rsidRDefault="00C651A3">
      <w:pPr>
        <w:spacing w:line="100" w:lineRule="atLeast"/>
        <w:jc w:val="center"/>
        <w:rPr>
          <w:b/>
          <w:color w:val="auto"/>
        </w:rPr>
      </w:pPr>
      <w:r w:rsidRPr="00C651A3">
        <w:rPr>
          <w:b/>
          <w:color w:val="auto"/>
        </w:rPr>
        <w:t>1. Основные цели и задачи бюджетной политики на 2022– 2024 годы</w:t>
      </w:r>
    </w:p>
    <w:p w:rsidR="00D134DD" w:rsidRPr="00C651A3" w:rsidRDefault="00D134DD">
      <w:pPr>
        <w:spacing w:line="100" w:lineRule="atLeast"/>
        <w:jc w:val="center"/>
        <w:rPr>
          <w:b/>
          <w:color w:val="auto"/>
        </w:rPr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 xml:space="preserve">Основные направления бюджетной политики МО «Нижнереутчанский </w:t>
      </w:r>
      <w:r w:rsidRPr="00C651A3">
        <w:t>сельсовет» на 2022 год и на плановый период 2023 и 2024 годов (далее – основные направления бюджетной политики) определяют цели и приоритеты бюджетной политики администрации Нижнереутчанского сельсовета в среднесрочной перспективе, разработаны в соответств</w:t>
      </w:r>
      <w:r w:rsidRPr="00C651A3">
        <w:t xml:space="preserve">ии с требованиями Бюджетного кодекса Российской Федерации.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Целью основных направлений бюджетной политики является описание основных подходов к формированию проекта бюджета МО на 2022-2024 годы, а также обеспечение прозрачности и открытости бюджетного план</w:t>
      </w:r>
      <w:r w:rsidRPr="00C651A3">
        <w:t>ирования.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Основные направления бюджетной политики сохраняют преемственность целей и задач, определенных в 2021 году.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безусловном порядке будут обеспечены финансовыми ресурсами областного бюджета «майские» указы Президента Российской Федерации (2012 года)</w:t>
      </w:r>
      <w:r w:rsidRPr="00C651A3">
        <w:t xml:space="preserve">.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В рамках бюджетной политики необходимо добиться сбалансированности  местного бюджета. С этой целью требуется реализовать задачи, поставленные в поручении Президента Российской Федерации от 11 марта 2015 года № Пр-417ГС: обеспечить рост доходов и повышен</w:t>
      </w:r>
      <w:r w:rsidRPr="00C651A3">
        <w:t xml:space="preserve">ие эффективности бюджетных расходов.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</w:t>
      </w:r>
      <w:r w:rsidRPr="00C651A3">
        <w:t>ипальных услуг.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Для повышения эффективности бюджетных расходов более 85% от их общего объема будут исполняться в рамках муниципальных программ. Это позволит обеспечить взаимосвязь направлений бюджетных ассигнований на оказание муниципальных услуг с приорит</w:t>
      </w:r>
      <w:r w:rsidRPr="00C651A3">
        <w:t xml:space="preserve">етами социально-экономического развития села.  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Финансовое обеспечение расходов на оплату труда работников будет осуществляться исходя из фактической численности.</w:t>
      </w:r>
    </w:p>
    <w:p w:rsidR="00D134DD" w:rsidRPr="00C651A3" w:rsidRDefault="00D134DD">
      <w:pPr>
        <w:spacing w:line="100" w:lineRule="atLeast"/>
        <w:ind w:firstLine="709"/>
        <w:jc w:val="both"/>
        <w:rPr>
          <w:b/>
        </w:rPr>
      </w:pPr>
    </w:p>
    <w:p w:rsidR="00D134DD" w:rsidRPr="00C651A3" w:rsidRDefault="00C651A3">
      <w:pPr>
        <w:spacing w:line="100" w:lineRule="atLeast"/>
        <w:jc w:val="center"/>
        <w:rPr>
          <w:b/>
        </w:rPr>
      </w:pPr>
      <w:r w:rsidRPr="00C651A3">
        <w:rPr>
          <w:b/>
        </w:rPr>
        <w:t>2. Основные подходы к формированию  бюджетных расходов</w:t>
      </w:r>
    </w:p>
    <w:p w:rsidR="00D134DD" w:rsidRPr="00C651A3" w:rsidRDefault="00C651A3">
      <w:pPr>
        <w:spacing w:line="100" w:lineRule="atLeast"/>
        <w:jc w:val="center"/>
        <w:rPr>
          <w:b/>
        </w:rPr>
      </w:pPr>
      <w:r w:rsidRPr="00C651A3">
        <w:rPr>
          <w:b/>
        </w:rPr>
        <w:t>на 2022 – 2024 годы.</w:t>
      </w:r>
    </w:p>
    <w:p w:rsidR="00D134DD" w:rsidRPr="00C651A3" w:rsidRDefault="00D134DD">
      <w:pPr>
        <w:spacing w:line="100" w:lineRule="atLeast"/>
        <w:jc w:val="center"/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Предельные объе</w:t>
      </w:r>
      <w:r w:rsidRPr="00C651A3">
        <w:t>мы бюджетных ассигнований бюджета МО  на реализацию муниципальных программ и направлений деятельности, не входящих в муниципальные программы, на 2022-2024 годы сформированы на основе следующих основных подходов: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1) объем бюджетных ассигнований на исполнени</w:t>
      </w:r>
      <w:r w:rsidRPr="00C651A3">
        <w:t>е принимаемых обязательств на 2022-2024 годы определен исходя из допустимого размера объема от налоговых и неналоговых доходов.</w:t>
      </w:r>
    </w:p>
    <w:p w:rsidR="00D134DD" w:rsidRPr="00C651A3" w:rsidRDefault="00C651A3">
      <w:pPr>
        <w:spacing w:line="100" w:lineRule="atLeast"/>
        <w:ind w:firstLine="567"/>
        <w:jc w:val="both"/>
        <w:rPr>
          <w:b/>
        </w:rPr>
      </w:pPr>
      <w:r w:rsidRPr="00C651A3">
        <w:t>Бюджет МО сохранит социальную ориентированность: основную часть общего объема расходов планируется направить на финансирование о</w:t>
      </w:r>
      <w:r w:rsidRPr="00C651A3">
        <w:t>траслей социальной сферы.</w:t>
      </w:r>
    </w:p>
    <w:p w:rsidR="00D134DD" w:rsidRPr="00C651A3" w:rsidRDefault="00C651A3">
      <w:pPr>
        <w:spacing w:line="100" w:lineRule="atLeast"/>
        <w:ind w:firstLine="709"/>
        <w:jc w:val="center"/>
        <w:rPr>
          <w:color w:val="auto"/>
        </w:rPr>
      </w:pPr>
      <w:r w:rsidRPr="00C651A3">
        <w:rPr>
          <w:b/>
        </w:rPr>
        <w:t>3. Приоритеты бюджетных расходов.</w:t>
      </w:r>
    </w:p>
    <w:p w:rsidR="00D134DD" w:rsidRPr="00C651A3" w:rsidRDefault="00D134DD">
      <w:pPr>
        <w:spacing w:line="100" w:lineRule="atLeast"/>
        <w:ind w:firstLine="709"/>
        <w:jc w:val="center"/>
        <w:rPr>
          <w:color w:val="auto"/>
        </w:rPr>
      </w:pP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Главным приоритетом бюджетной политики в сфере расходов остается финансовое обеспечение «майских» указов Президента Российской Федерации (2012 года). В соответствии с целевыми показателями «дорож</w:t>
      </w:r>
      <w:r w:rsidRPr="00C651A3">
        <w:t xml:space="preserve">ных карт» планируются средства на повышение </w:t>
      </w:r>
      <w:proofErr w:type="gramStart"/>
      <w:r w:rsidRPr="00C651A3">
        <w:t>оплаты труда отдельных категорий работников бюджетной сферы</w:t>
      </w:r>
      <w:proofErr w:type="gramEnd"/>
      <w:r w:rsidRPr="00C651A3">
        <w:t>.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Повышение энергетической эффективности в бюджетной сфере и коммунальном комплексе будет осуществляться за счет энергосбережения и рационального использ</w:t>
      </w:r>
      <w:r w:rsidRPr="00C651A3">
        <w:t>ования топливно-энергетических ресурсов.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Основными направлениями расходования бюджетных средств на 2022-2024 годы является обеспечение равного доступа населения к муниципальным услугам в сфере  культуры и повышение качества предоставляемых услуг. При форми</w:t>
      </w:r>
      <w:r w:rsidRPr="00C651A3">
        <w:t xml:space="preserve">ровании расходной части бюджета МО на 2022-2024 годы предлагается особое внимание уделить следующим ключевым вопросам: </w:t>
      </w:r>
    </w:p>
    <w:p w:rsidR="00D134DD" w:rsidRPr="00C651A3" w:rsidRDefault="00C651A3">
      <w:pPr>
        <w:tabs>
          <w:tab w:val="left" w:pos="567"/>
        </w:tabs>
        <w:spacing w:line="100" w:lineRule="atLeast"/>
        <w:ind w:firstLine="567"/>
        <w:jc w:val="center"/>
      </w:pPr>
      <w:r w:rsidRPr="00C651A3">
        <w:rPr>
          <w:b/>
        </w:rPr>
        <w:t>В сфере культуры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В сфере культуры предусматривается поддержка из областного и местного бюджетов материально-технической базы  учреждений</w:t>
      </w:r>
      <w:r w:rsidRPr="00C651A3">
        <w:t xml:space="preserve"> культуры.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Прогноз развития сферы культуры предполагает создание условий для оптимизации расходов, в том числе: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повышение качества муниципальных услуг в сфере культуры;</w:t>
      </w:r>
    </w:p>
    <w:p w:rsidR="00D134DD" w:rsidRPr="00C651A3" w:rsidRDefault="00C651A3">
      <w:pPr>
        <w:spacing w:line="100" w:lineRule="atLeast"/>
        <w:ind w:firstLine="709"/>
        <w:jc w:val="both"/>
      </w:pPr>
      <w:r w:rsidRPr="00C651A3">
        <w:t>- обеспечение достойной оплаты труда работников учреждений культуры, развитие и сохра</w:t>
      </w:r>
      <w:r w:rsidRPr="00C651A3">
        <w:t>нение кадрового потенциала учреждений культуры.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 xml:space="preserve">Будет  продолжено поэтапное повышение средней заработной платы работников учреждений сферы культуры в целях доведения ее к 2022 году до средней заработной платы по региону. </w:t>
      </w:r>
    </w:p>
    <w:p w:rsidR="00D134DD" w:rsidRPr="00C651A3" w:rsidRDefault="00C651A3">
      <w:pPr>
        <w:spacing w:line="100" w:lineRule="atLeast"/>
        <w:jc w:val="center"/>
      </w:pPr>
      <w:r w:rsidRPr="00C651A3">
        <w:rPr>
          <w:b/>
        </w:rPr>
        <w:t>В сфере муниципального управления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Следует обеспечить неукоснительное выполнение требований Бюджетного кодекса Российской Федерации,  на планирование бюджетных ассигнований на 2022-2024 годы по обеспечению деятельности органов местного самоуправления. Расходы будут осуществляться с учетом п</w:t>
      </w:r>
      <w:r w:rsidRPr="00C651A3">
        <w:t>роведенных мероприятий: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 xml:space="preserve"> Бюджетная политика в сфере муниципального управления будет направлена </w:t>
      </w:r>
      <w:proofErr w:type="gramStart"/>
      <w:r w:rsidRPr="00C651A3">
        <w:t>на</w:t>
      </w:r>
      <w:proofErr w:type="gramEnd"/>
      <w:r w:rsidRPr="00C651A3">
        <w:t>:</w:t>
      </w:r>
    </w:p>
    <w:p w:rsidR="00D134DD" w:rsidRPr="00C651A3" w:rsidRDefault="00C651A3">
      <w:pPr>
        <w:spacing w:line="100" w:lineRule="atLeast"/>
        <w:jc w:val="both"/>
      </w:pPr>
      <w:r w:rsidRPr="00C651A3">
        <w:t>- оптимизацию расходов на содержание органов местного самоуправления;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- соблюдение установленных нормативов формирования расходов на обеспечение деятельности</w:t>
      </w:r>
      <w:r w:rsidRPr="00C651A3">
        <w:t xml:space="preserve"> органов МСУ;</w:t>
      </w:r>
    </w:p>
    <w:p w:rsidR="00D134DD" w:rsidRPr="00C651A3" w:rsidRDefault="00C651A3">
      <w:pPr>
        <w:spacing w:line="100" w:lineRule="atLeast"/>
        <w:ind w:firstLine="567"/>
        <w:jc w:val="both"/>
        <w:rPr>
          <w:b/>
        </w:rPr>
      </w:pPr>
      <w:r w:rsidRPr="00C651A3">
        <w:t>- повышение качества и оперативности предоставления муниципальных услуг гражданам и организациям.</w:t>
      </w:r>
    </w:p>
    <w:p w:rsidR="00D134DD" w:rsidRPr="00C651A3" w:rsidRDefault="00C651A3">
      <w:pPr>
        <w:spacing w:line="100" w:lineRule="atLeast"/>
        <w:ind w:firstLine="567"/>
        <w:jc w:val="center"/>
      </w:pPr>
      <w:r w:rsidRPr="00C651A3">
        <w:rPr>
          <w:b/>
        </w:rPr>
        <w:t>В сфере обеспечения безопасности граждан, гражданской обороны и предотвращения чрезвычайных ситуаций</w:t>
      </w:r>
    </w:p>
    <w:p w:rsidR="00D134DD" w:rsidRPr="00C651A3" w:rsidRDefault="00C651A3">
      <w:pPr>
        <w:spacing w:line="100" w:lineRule="atLeast"/>
        <w:ind w:firstLine="567"/>
        <w:jc w:val="both"/>
      </w:pPr>
      <w:r w:rsidRPr="00C651A3">
        <w:t>Для решения вопросов защиты населения и тер</w:t>
      </w:r>
      <w:r w:rsidRPr="00C651A3">
        <w:t>ритории сельского  поселения от пожаров в бюджете будут предусмотрены средства на противопожарные мероприятия и для решения вопросов защиты населения от чрезвычайных ситуаций природного и техногенного характера и ликвидации их последствий.</w:t>
      </w:r>
    </w:p>
    <w:p w:rsidR="00D134DD" w:rsidRPr="00C651A3" w:rsidRDefault="00C651A3">
      <w:pPr>
        <w:spacing w:line="100" w:lineRule="atLeast"/>
        <w:jc w:val="center"/>
        <w:rPr>
          <w:b/>
        </w:rPr>
      </w:pPr>
      <w:r w:rsidRPr="00C651A3">
        <w:rPr>
          <w:b/>
        </w:rPr>
        <w:t>4. Политика в об</w:t>
      </w:r>
      <w:r w:rsidRPr="00C651A3">
        <w:rPr>
          <w:b/>
        </w:rPr>
        <w:t>ласти межбюджетных отношений.</w:t>
      </w:r>
    </w:p>
    <w:p w:rsidR="00D134DD" w:rsidRPr="00C651A3" w:rsidRDefault="00C651A3">
      <w:pPr>
        <w:spacing w:line="100" w:lineRule="atLeast"/>
        <w:ind w:firstLine="567"/>
        <w:jc w:val="both"/>
        <w:rPr>
          <w:b/>
          <w:color w:val="auto"/>
        </w:rPr>
      </w:pPr>
      <w:r w:rsidRPr="00C651A3">
        <w:t>В сфере межбюджетных отношений предусматривается реализация комплекса мер, направленных на повышение эффективности и целевого использования межбюджетных трансфертов.</w:t>
      </w:r>
    </w:p>
    <w:sectPr w:rsidR="00D134DD" w:rsidRPr="00C651A3" w:rsidSect="00D134DD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134DD"/>
    <w:rsid w:val="00C651A3"/>
    <w:rsid w:val="00D1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134DD"/>
    <w:rPr>
      <w:sz w:val="24"/>
    </w:rPr>
  </w:style>
  <w:style w:type="paragraph" w:styleId="10">
    <w:name w:val="heading 1"/>
    <w:next w:val="a"/>
    <w:link w:val="11"/>
    <w:uiPriority w:val="9"/>
    <w:qFormat/>
    <w:rsid w:val="00D134D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134D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134D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134D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134D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134DD"/>
    <w:rPr>
      <w:sz w:val="24"/>
    </w:rPr>
  </w:style>
  <w:style w:type="paragraph" w:styleId="21">
    <w:name w:val="toc 2"/>
    <w:next w:val="a"/>
    <w:link w:val="22"/>
    <w:uiPriority w:val="39"/>
    <w:rsid w:val="00D134DD"/>
    <w:pPr>
      <w:ind w:left="200"/>
    </w:pPr>
  </w:style>
  <w:style w:type="character" w:customStyle="1" w:styleId="22">
    <w:name w:val="Оглавление 2 Знак"/>
    <w:link w:val="21"/>
    <w:rsid w:val="00D134DD"/>
  </w:style>
  <w:style w:type="paragraph" w:styleId="a3">
    <w:name w:val="List Paragraph"/>
    <w:basedOn w:val="a"/>
    <w:link w:val="a4"/>
    <w:rsid w:val="00D134DD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sid w:val="00D134DD"/>
    <w:rPr>
      <w:sz w:val="28"/>
    </w:rPr>
  </w:style>
  <w:style w:type="paragraph" w:styleId="41">
    <w:name w:val="toc 4"/>
    <w:next w:val="a"/>
    <w:link w:val="42"/>
    <w:uiPriority w:val="39"/>
    <w:rsid w:val="00D134DD"/>
    <w:pPr>
      <w:ind w:left="600"/>
    </w:pPr>
  </w:style>
  <w:style w:type="character" w:customStyle="1" w:styleId="42">
    <w:name w:val="Оглавление 4 Знак"/>
    <w:link w:val="41"/>
    <w:rsid w:val="00D134DD"/>
  </w:style>
  <w:style w:type="paragraph" w:styleId="6">
    <w:name w:val="toc 6"/>
    <w:next w:val="a"/>
    <w:link w:val="60"/>
    <w:uiPriority w:val="39"/>
    <w:rsid w:val="00D134DD"/>
    <w:pPr>
      <w:ind w:left="1000"/>
    </w:pPr>
  </w:style>
  <w:style w:type="character" w:customStyle="1" w:styleId="60">
    <w:name w:val="Оглавление 6 Знак"/>
    <w:link w:val="6"/>
    <w:rsid w:val="00D134DD"/>
  </w:style>
  <w:style w:type="paragraph" w:styleId="7">
    <w:name w:val="toc 7"/>
    <w:next w:val="a"/>
    <w:link w:val="70"/>
    <w:uiPriority w:val="39"/>
    <w:rsid w:val="00D134DD"/>
    <w:pPr>
      <w:ind w:left="1200"/>
    </w:pPr>
  </w:style>
  <w:style w:type="character" w:customStyle="1" w:styleId="70">
    <w:name w:val="Оглавление 7 Знак"/>
    <w:link w:val="7"/>
    <w:rsid w:val="00D134DD"/>
  </w:style>
  <w:style w:type="paragraph" w:customStyle="1" w:styleId="12">
    <w:name w:val="Строгий1"/>
    <w:link w:val="a5"/>
    <w:rsid w:val="00D134DD"/>
    <w:rPr>
      <w:b/>
    </w:rPr>
  </w:style>
  <w:style w:type="character" w:styleId="a5">
    <w:name w:val="Strong"/>
    <w:link w:val="12"/>
    <w:rsid w:val="00D134DD"/>
    <w:rPr>
      <w:b/>
    </w:rPr>
  </w:style>
  <w:style w:type="character" w:customStyle="1" w:styleId="30">
    <w:name w:val="Заголовок 3 Знак"/>
    <w:link w:val="3"/>
    <w:rsid w:val="00D134DD"/>
    <w:rPr>
      <w:rFonts w:ascii="XO Thames" w:hAnsi="XO Thames"/>
      <w:b/>
      <w:i/>
      <w:color w:val="000000"/>
    </w:rPr>
  </w:style>
  <w:style w:type="paragraph" w:styleId="a6">
    <w:name w:val="Normal (Web)"/>
    <w:basedOn w:val="a"/>
    <w:link w:val="a7"/>
    <w:rsid w:val="00D134DD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sid w:val="00D134DD"/>
  </w:style>
  <w:style w:type="paragraph" w:styleId="31">
    <w:name w:val="toc 3"/>
    <w:next w:val="a"/>
    <w:link w:val="32"/>
    <w:uiPriority w:val="39"/>
    <w:rsid w:val="00D134DD"/>
    <w:pPr>
      <w:ind w:left="400"/>
    </w:pPr>
  </w:style>
  <w:style w:type="character" w:customStyle="1" w:styleId="32">
    <w:name w:val="Оглавление 3 Знак"/>
    <w:link w:val="31"/>
    <w:rsid w:val="00D134DD"/>
  </w:style>
  <w:style w:type="paragraph" w:customStyle="1" w:styleId="13">
    <w:name w:val="Основной шрифт абзаца1"/>
    <w:link w:val="a8"/>
    <w:rsid w:val="00D134DD"/>
  </w:style>
  <w:style w:type="paragraph" w:styleId="a8">
    <w:name w:val="Body Text Indent"/>
    <w:basedOn w:val="a"/>
    <w:link w:val="a9"/>
    <w:rsid w:val="00D134DD"/>
    <w:pPr>
      <w:ind w:firstLine="900"/>
      <w:jc w:val="both"/>
    </w:pPr>
  </w:style>
  <w:style w:type="character" w:customStyle="1" w:styleId="a9">
    <w:name w:val="Основной текст с отступом Знак"/>
    <w:basedOn w:val="1"/>
    <w:link w:val="a8"/>
    <w:rsid w:val="00D134DD"/>
  </w:style>
  <w:style w:type="paragraph" w:customStyle="1" w:styleId="14">
    <w:name w:val="Основной шрифт абзаца1"/>
    <w:link w:val="15"/>
    <w:rsid w:val="00D134DD"/>
  </w:style>
  <w:style w:type="character" w:customStyle="1" w:styleId="15">
    <w:name w:val="Основной шрифт абзаца1"/>
    <w:link w:val="14"/>
    <w:rsid w:val="00D134DD"/>
  </w:style>
  <w:style w:type="paragraph" w:styleId="aa">
    <w:name w:val="Body Text"/>
    <w:basedOn w:val="a"/>
    <w:link w:val="ab"/>
    <w:rsid w:val="00D134DD"/>
    <w:pPr>
      <w:spacing w:after="120"/>
    </w:pPr>
  </w:style>
  <w:style w:type="character" w:customStyle="1" w:styleId="ab">
    <w:name w:val="Основной текст Знак"/>
    <w:basedOn w:val="1"/>
    <w:link w:val="aa"/>
    <w:rsid w:val="00D134DD"/>
  </w:style>
  <w:style w:type="character" w:customStyle="1" w:styleId="50">
    <w:name w:val="Заголовок 5 Знак"/>
    <w:link w:val="5"/>
    <w:rsid w:val="00D134D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134DD"/>
    <w:rPr>
      <w:rFonts w:ascii="XO Thames" w:hAnsi="XO Thames"/>
      <w:b/>
      <w:sz w:val="32"/>
    </w:rPr>
  </w:style>
  <w:style w:type="paragraph" w:customStyle="1" w:styleId="16">
    <w:name w:val="Гиперссылка1"/>
    <w:basedOn w:val="14"/>
    <w:link w:val="ac"/>
    <w:rsid w:val="00D134DD"/>
    <w:rPr>
      <w:color w:val="000080"/>
      <w:u w:val="single"/>
    </w:rPr>
  </w:style>
  <w:style w:type="character" w:styleId="ac">
    <w:name w:val="Hyperlink"/>
    <w:basedOn w:val="15"/>
    <w:link w:val="16"/>
    <w:rsid w:val="00D134DD"/>
    <w:rPr>
      <w:color w:val="000080"/>
      <w:u w:val="single"/>
    </w:rPr>
  </w:style>
  <w:style w:type="paragraph" w:customStyle="1" w:styleId="Footnote">
    <w:name w:val="Footnote"/>
    <w:link w:val="Footnote0"/>
    <w:rsid w:val="00D134D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134D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134DD"/>
    <w:rPr>
      <w:rFonts w:ascii="XO Thames" w:hAnsi="XO Thames"/>
      <w:b/>
    </w:rPr>
  </w:style>
  <w:style w:type="character" w:customStyle="1" w:styleId="18">
    <w:name w:val="Оглавление 1 Знак"/>
    <w:link w:val="17"/>
    <w:rsid w:val="00D134D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134D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134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134DD"/>
    <w:pPr>
      <w:ind w:left="1600"/>
    </w:pPr>
  </w:style>
  <w:style w:type="character" w:customStyle="1" w:styleId="90">
    <w:name w:val="Оглавление 9 Знак"/>
    <w:link w:val="9"/>
    <w:rsid w:val="00D134DD"/>
  </w:style>
  <w:style w:type="paragraph" w:customStyle="1" w:styleId="ConsPlusNormalTimesNewRoman">
    <w:name w:val="ConsPlusNormal + Times New Roman"/>
    <w:basedOn w:val="ConsPlusNormal"/>
    <w:link w:val="ConsPlusNormalTimesNewRoman0"/>
    <w:rsid w:val="00D134DD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sid w:val="00D134D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D134DD"/>
    <w:pPr>
      <w:ind w:left="1400"/>
    </w:pPr>
  </w:style>
  <w:style w:type="character" w:customStyle="1" w:styleId="80">
    <w:name w:val="Оглавление 8 Знак"/>
    <w:link w:val="8"/>
    <w:rsid w:val="00D134DD"/>
  </w:style>
  <w:style w:type="paragraph" w:customStyle="1" w:styleId="19">
    <w:name w:val="Знак Знак1 Знак Знак Знак Знак"/>
    <w:basedOn w:val="a"/>
    <w:link w:val="1a"/>
    <w:rsid w:val="00D134DD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sid w:val="00D134DD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D134D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134DD"/>
    <w:rPr>
      <w:rFonts w:ascii="Arial" w:hAnsi="Arial"/>
    </w:rPr>
  </w:style>
  <w:style w:type="paragraph" w:styleId="51">
    <w:name w:val="toc 5"/>
    <w:next w:val="a"/>
    <w:link w:val="52"/>
    <w:uiPriority w:val="39"/>
    <w:rsid w:val="00D134DD"/>
    <w:pPr>
      <w:ind w:left="800"/>
    </w:pPr>
  </w:style>
  <w:style w:type="character" w:customStyle="1" w:styleId="52">
    <w:name w:val="Оглавление 5 Знак"/>
    <w:link w:val="51"/>
    <w:rsid w:val="00D134DD"/>
  </w:style>
  <w:style w:type="paragraph" w:customStyle="1" w:styleId="Default">
    <w:name w:val="Default"/>
    <w:link w:val="Default0"/>
    <w:rsid w:val="00D134DD"/>
    <w:rPr>
      <w:sz w:val="24"/>
    </w:rPr>
  </w:style>
  <w:style w:type="character" w:customStyle="1" w:styleId="Default0">
    <w:name w:val="Default"/>
    <w:link w:val="Default"/>
    <w:rsid w:val="00D134DD"/>
    <w:rPr>
      <w:color w:val="000000"/>
      <w:sz w:val="24"/>
    </w:rPr>
  </w:style>
  <w:style w:type="paragraph" w:styleId="ad">
    <w:name w:val="Subtitle"/>
    <w:next w:val="a"/>
    <w:link w:val="ae"/>
    <w:uiPriority w:val="11"/>
    <w:qFormat/>
    <w:rsid w:val="00D134DD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D134D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134DD"/>
    <w:pPr>
      <w:ind w:left="1800"/>
    </w:pPr>
  </w:style>
  <w:style w:type="character" w:customStyle="1" w:styleId="toc100">
    <w:name w:val="toc 10"/>
    <w:link w:val="toc10"/>
    <w:rsid w:val="00D134DD"/>
  </w:style>
  <w:style w:type="paragraph" w:styleId="af">
    <w:name w:val="Title"/>
    <w:next w:val="a"/>
    <w:link w:val="af0"/>
    <w:uiPriority w:val="10"/>
    <w:qFormat/>
    <w:rsid w:val="00D134DD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D134D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134D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134D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2359</Words>
  <Characters>13452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2021-11-13T13:07:00Z</dcterms:created>
  <dcterms:modified xsi:type="dcterms:W3CDTF">2021-11-13T13:13:00Z</dcterms:modified>
</cp:coreProperties>
</file>