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8" w:rsidRDefault="00B71BE8" w:rsidP="00B71B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05.11.2020 года №96-па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на 2021 год и плановый период 2022 и 2023 годов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5"/>
          <w:rFonts w:ascii="Tahoma" w:hAnsi="Tahoma" w:cs="Tahoma"/>
          <w:b/>
          <w:bCs/>
          <w:color w:val="000000"/>
        </w:rPr>
        <w:t>от 05.11.2020  года                                            №96-па</w:t>
      </w:r>
    </w:p>
    <w:p w:rsidR="00B71BE8" w:rsidRDefault="00B71BE8" w:rsidP="00B71BE8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t>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Style w:val="a5"/>
          <w:rFonts w:ascii="Tahoma" w:hAnsi="Tahoma" w:cs="Tahoma"/>
          <w:b/>
          <w:bCs/>
          <w:color w:val="000000"/>
        </w:rPr>
        <w:t>Нижнереутчанский</w:t>
      </w:r>
      <w:proofErr w:type="spellEnd"/>
      <w:r>
        <w:rPr>
          <w:rStyle w:val="a5"/>
          <w:rFonts w:ascii="Tahoma" w:hAnsi="Tahoma" w:cs="Tahoma"/>
          <w:b/>
          <w:bCs/>
          <w:color w:val="000000"/>
        </w:rPr>
        <w:t xml:space="preserve"> сельсовет» на 2021 год и плановый период 2022 и 2023 годов</w:t>
      </w:r>
    </w:p>
    <w:p w:rsidR="00B71BE8" w:rsidRDefault="00B71BE8" w:rsidP="00B71BE8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169 Бюджетного кодекса Российской Федерации,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04.04.2014г. № 48/366 «О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(в ред. от 29.04.2016 г. № 9/45, от 20.12.2017 г. №30/140, от 28.06.2019 г. №55/229),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  <w:proofErr w:type="gramEnd"/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на 2021 год и плановый период 2022 и 2023 годов, согласно приложению № 1.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 П.В.Тришин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05.11.2020 года № 96-па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Методика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МО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на 2021 год и на плановый период 2022 и 2023 годов.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 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 – 2023 годы формируется исходя из действующего на момент составления бюджета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налогового и бюджетного законодательства и макроэкономических параметров функционирования реального сектора экономики.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2017, 2018 и 2019 годов в фактических годовых поступлениях.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2021 год, и ставки налога в размере 13 %.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2022-2023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- сумма налога на 2022-2023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2020 году, скорректированного на 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2021-2023 годах.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2021-2023 годах определяется на уровне ожидаемого поступления налога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определяется на уровне фактического поступления налога в 2019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2021-2023 годах 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определяется на уровне фактического поступления налога в 2019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Прогноз поступлений земельного налога на 2021-2023 годы определяется на уровне ожидаемого поступления налога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(коды 1 11 05024 04 0000 120; 1 11 05025 05 0000 120; 1 11 05025 10 0000 120;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1 11 05025 13 0000 120)</w:t>
      </w:r>
      <w:proofErr w:type="gramEnd"/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2021-2023 годы прогнозируется на уровне ожидаемого поступления доходов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05030 00 0000 120)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2021-2023 годах (коды 1 11 05034 04 0000 120, 1 11 05035 05 0000 120, 1 11 05035 10 0000 120, 1 11 05035 13 0000 120) прогнозируется на уровне ожидаемого поступления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ahoma" w:hAnsi="Tahoma" w:cs="Tahoma"/>
          <w:color w:val="000000"/>
          <w:sz w:val="18"/>
          <w:szCs w:val="18"/>
        </w:rPr>
        <w:t> (код 1 11 05070 00 0000 120)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областной бюджет в 2021-2023 годах (код 1 11 05072 02 0000 120) планируется на основании расчётных данных комитета по управлению имуществом Курской области.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2021-2023 годах (коды 1 11 05074 04 0000 120, 1 11 05075 05 0000 120, 1 11 05075 10 0000 120, 1 11 05075 13 0000 120) прогнозируется на уровне ожидаемого поступления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Доходы от оказания платных услуг и компенсации затрат государства</w:t>
      </w:r>
      <w:r>
        <w:rPr>
          <w:rFonts w:ascii="Tahoma" w:hAnsi="Tahoma" w:cs="Tahoma"/>
          <w:color w:val="000000"/>
          <w:sz w:val="18"/>
          <w:szCs w:val="18"/>
        </w:rPr>
        <w:t> (код 1 13 00000 00 0000 000)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недвижимости (код 1 13 01031 01 0000 130); плата за предоставление информации из реестра дисквалифицированных лиц (код 1 13 01190 01 0000 130);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130);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0000 130) на 2021-2023 годы планируются на основании расчетных данных главных администраторов доходов областного бюджета.</w:t>
      </w:r>
      <w:proofErr w:type="gramEnd"/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от оказания платных услуг и компенсации затрат государства (код 1 13 00000 00 0000 000) в местные бюджеты на 2021-2023 годы прогнозируется на уровне ожидаемого поступления доходов в 2020 году.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71BE8" w:rsidRDefault="00B71BE8" w:rsidP="00B71BE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B71BE8" w:rsidRDefault="00EA699E" w:rsidP="00B71BE8"/>
    <w:sectPr w:rsidR="00EA699E" w:rsidRPr="00B71BE8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554B"/>
    <w:rsid w:val="008E6214"/>
    <w:rsid w:val="008F0DEA"/>
    <w:rsid w:val="008F5696"/>
    <w:rsid w:val="0092768E"/>
    <w:rsid w:val="00937EC0"/>
    <w:rsid w:val="00945222"/>
    <w:rsid w:val="009920C2"/>
    <w:rsid w:val="009E0CB1"/>
    <w:rsid w:val="00A5194A"/>
    <w:rsid w:val="00AE7137"/>
    <w:rsid w:val="00AF4591"/>
    <w:rsid w:val="00B06820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75</cp:revision>
  <dcterms:created xsi:type="dcterms:W3CDTF">2023-07-11T04:06:00Z</dcterms:created>
  <dcterms:modified xsi:type="dcterms:W3CDTF">2023-07-13T05:42:00Z</dcterms:modified>
</cp:coreProperties>
</file>