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4B" w:rsidRDefault="008E554B" w:rsidP="008E554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05.11.2020 года №97-па Методика планирования бюджетных ассигнований муниципального образования «Нижнереутчанский сельсовет» Медвенского района Курской области» на 2021 год и плановый период 2022 и 2023 годов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АДМИНИСТРАЦИЯ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ПОСТАНОВЛЕНИЕ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от 05.11.2020 года                                         №97-па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Методика планирования бюджетных ассигнований муниципального образования «Нижнереутчанский сельсовет» Медвенского района Курской области» на 2021 год и плановый период 2022 и 2023 годов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169 Бюджетного кодекса Российской Федерации, решения Собрания депутатов Нижнереутчанского сельсовета от 04.04.2014г. № 48/366 «О бюджетном процессе в муниципальном образовании «Нижнереутчанский сельсовет» Медвенского района Курской области» (с изменениями), Администрация Нижнереутчанского сельсовета Медвенского района ПОСТАНОВЛЯЕТ: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методику планирования бюджетных ассигнований муниципального образования «Нижнереутчанский сельсовет» Медвенского района Курской области на 2021 год и плановый период 2022 и 2023 годов, согласно приложению № 1.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Нижнереутчанского сельсовета                                                    П.В.Тришин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 Курской области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05.11. 2020г. №97-па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методика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планирования бюджетных ассигнований местного бюджета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на 2021 год и на плановый период 2022 и 2023 годов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основу прогноза расходов областного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           от 6 октября 2003 года № 131-ФЗ «Об общих принципах организации местного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самоуправления в Российской Федерации» (с учетом изменений             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06.06.2019 № 85н «О Порядке формирования и применения кодов бюджетной классификации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Российской Федерации, их структуре и принципах назначения», Основные направления бюджетной и налоговой политики Курской области на 2021 год и на плановый период 2022 и 2023 годов, утвержденные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распоряжением Администрации Курской области от 21 октября 2020 года № 613-ра, а также проект федерального закона «О федеральном бюджете на 2021 год и на плановый период 2022 и 2023 годов».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Планирование бюджетных ассигнований муниципального образования «Нижнереутчанский сельсовет» Медвенского района Курской области» на 2021 год и плановый период 2022 и 2023 годов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I.               Общие подходы к планированию расходов бюджета      муниципального образования «Нижнереутчанский сельсовет» Медвенского района Курской области на 2021 год и на плановый период 2022 и 2023 годов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Планирование бюджетных ассигнований бюджета поселения осуществляется в соответствии с расходными обязательствами, установленными федеральными законами и законами Курской области, нормативными правовыми актами Курской области, муниципальными правовыми актами, решением Собрания депутатов Нижнереутчанского сельсовета Медвенского района Курской области от 04 апреля 2014 года № 48/366 «Об утверждении Положения о бюджетном процессе в муниципальном образовании «Нижнереутчанский сельсовет» Медвенского района Курской области» (с учетом изменений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 дополнений), договорами и соглашениями, заключенными Нижнереутчанским сельсоветом, исполнение которых должно происходить в 2021 году (в 2021 году и в плановом периоде 2022-2023 годов) за счет средств бюджета поселения (за исключением целевых межбюджетных трансфертов из федерального и областного бюджетов).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Планирование расходов бюджета на 2021-2023 годы осуществляется в рамках муниципальных программ и непрограммных мероприятий.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Расчёт бюджетных ассигнований может осуществляться: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нормативным методом - расчет объема бюджетных ассигнований на основе нормативов, утвержденных в соответствующем правовом акте, отражающих уровень использования ресурсов (материальных, трудовых, финансовых);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етодом индексации - объем бюджетных ассигнований рассчитывается путем индексации на прогнозируемый среднегодовой индекс потребительских цен (иной коэффициент) объема бюджетных ассигнований текущего финансового года;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плановым методом - установление объема бюджетных ассигнований в соответствии с показателями, указанными в муниципальной программе, инвестиционном проекте, договоре, контракте, соглашении, соответствующем правовом акте, а также на основе прямого счета и калькуляции стоимости (отдельных элементов стоимости) муниципальных услуг (работ) и программных мероприятий;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ным методом, отличным от перечисленных или сочетающим перечисленные методы.</w:t>
      </w:r>
    </w:p>
    <w:p w:rsidR="008E554B" w:rsidRDefault="008E554B" w:rsidP="008E554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основу расчёта предельных объемов бюджетных ассигнований на 2021 год и плановый период 2022-2023 годов по действующим расходным обязательствам, доводимых до ГРБС, принимаются показатели отчетного года, скорректированные на суммы бюджетных ассигнований: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производимых в соответствии с разовыми решениями или решениями, срок действия которых ограничен текущим финансовым годом;</w:t>
      </w:r>
      <w:proofErr w:type="gramEnd"/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возникших в результате изменения состава и (или) полномочий (функций) главных распорядителей;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возникших в результате структурных и организационных преобразований в установленных сферах деятельности;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необходимых для реализации решений, принятых или планируемых к принятию в текущем году и подлежащих учету при уточнении бюджета на текущий финансовый год (повышение в течение текущего года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размера оплаты труда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уточнение объема ассигнований, направляемых на исполнение публичных обязательств в соответствии с муниципальными правовыми актами);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-финансовое обеспечение которых, осуществляется за счёт межбюджетных трансфертов, имеющих целевое назначение;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других ассигнований, имеющих отраслевую специфику планирования.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Если совокупный предельный объем бюджетных ассигнований, сформированный в соответствии с настоящей методикой, превышает общий прогнозируемый объем финансовых ресурсов (объем собственных доходов проекта бюджета поселения, объем безвозмездных поступлений и объем поступлений по источникам финансирования дефицита бюджета за вычетом выплат из источников финансирования дефицита бюджета), для обеспечения сбалансированности проекта бюджета поселения включение ассигнований на исполнение принимаемых расходных обязательств осуществляется с учетом предложений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главных распорядителей о перераспределении (оптимизации) бюджетных ассигнований на исполнение действующих расходных обязательств.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Формирование объема бюджетных ассигнований осуществляется из необходимости обеспечения исполнения в первоочередном порядке: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публичных нормативных и приравненных к ним обязательств;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-расходов на оплату труда и начислениям на оплату труда;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оплаты коммунальных услуг;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-налогов, сборов и других обязательных платежей в бюджет;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-соблюдения условий софинансирования расходов из федерального и областного бюджета.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lastRenderedPageBreak/>
        <w:t>1) При расчете расходов на оплату труда применяются условия оплаты, установленные действующими муниципальными правовыми актами, с учетом принятых решений об индексации оплаты труда работников муниципальных учреждений и изменений размеров оплаты труда, установленных законодательством Российской Федерации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работников, определенных в указах Президента Российской Федерации, к средней заработной плате в регионе.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2)Начисления на выплаты по оплате труда устанавливаются с учетом положений Федеральных законов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и от 24 июля 1998 года № 125-ФЗ «Об обязательном социальном страховании от несчастных случаев на производстве и профессиональных заболеваний».</w:t>
      </w:r>
      <w:proofErr w:type="gramEnd"/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3)Расходы на оплату коммунальных услуг определяются исходя из потребления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тепло-энергоресурсов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натуральном выражении в отчетном году, тарифов по видам услуг с учетом прогноза показателей инфляции.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4) 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в соответствии с действующим законодательством, регламентирующим порядок начисления и уплаты налогов (сборов), исходя из прогноза налогооблагаемой базы и налоговых ставок, с учетом сроков уплаты налогов.</w:t>
      </w:r>
      <w:proofErr w:type="gramEnd"/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Планирование бюджетных ассигнований на обеспечение выполнения функций муниципальных казенных учреждений, в том числе по оказанию муниципальных услуг (выполнение работ) физическим и (или) юридическим лицам, осуществляется в соответствии с показателями бюджетной сметы и общими подходами к планированию бюджетных ассигнований проекта бюджета поселения.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6)Объемы бюджетных ассигнований на социальное обеспечение населения рассчитываются нормативным методом путем умножения планируемого норматива на прогнозируемую численность физических лиц, являющихся получателями выплат, с учетом особенностей назначения отдельных социальных выплат или в соответствии с утвержденным порядком предоставления социальных выплат гражданам. Бюджетные ассигнования на исполнение расходных обязательств на социальное обеспечение населения, возникших в результате принятия публичных нормативных обязательств, предусматриваются отдельно по каждому виду таких обязательств в виде пособий, компенсаций и других социальных выплат.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Бюджетные ассигнования на исполнение обязательств по погашению и обслуживанию муниципального долга рассчитываются в соответствии с договорами, контрактами и соглашениями, определяющими условия привлечения, обращения и погашения долговых обязательств Администрации Нижнереутчанского сельсовета, с учетом прогноза объема задолженности по каждому долговому обязательству и сроков погашения ранее привлеченных заемных средств.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8) Объем бюджетных ассигнований на исполнение судебных актов по искам к Администрации Нижнереутчанского сельсовета о возмещении вреда, причиненного гражданину или юридическому лицу в результате незаконных действий (бездействия) органов местного самоуправления или их должностных лиц, в том числе в результате издания не соответствующего закону или иному правовому акту акта органа местного самоуправления, а также судебных актов по иным искам о взыскании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денежных средств за счет средств Администрации Нижнереутчанского сельсовета, судебных актов о присуждении компенсации за нарушение права на исполнение судебного акта в разумный срок за счет средств бюджета Нижнереутчанского сельсовета, предусматривается на основе исполнения соответствующих расходов в отчетном периоде, ожидаемого исполнения в текущем финансовом году с учетом предоставления отсрочки (рассрочки) платежа по судебным актам, принятым к учету.</w:t>
      </w:r>
      <w:proofErr w:type="gramEnd"/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9)</w:t>
      </w: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Планирование бюджетных ассигнований на расходные обязательства, исполняемые за счет средств от других бюджетов бюджетной системы Российской Федерации, осуществляется с учетом объемов и требований, предусмотренных соответствующими постановлениями Правительства Российской Федерации, Правительства Курской области, другими нормативными правовыми актами и соглашениями.</w:t>
      </w:r>
      <w:proofErr w:type="gramEnd"/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В составе расходов бюджета Нижнереутчанского сельского поселения могут предусматриваться бюджетные ассигнования на погашение кредиторской задолженности.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расходные обязательства принимаются в пределах возможностей проекта бюджета поселения и приоритетности расходов с учетом основных направлений бюджетной политики на 2021 год и плановый период 2022-2023годов.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II.       Отдельные особенности планирования бюджетных       ассигнований бюджета муниципального образования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«Нижнереутчанский сельсовет» Медвенского района Курской области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Раздел 0100 «Общегосударственные вопросы», по 0102,0104,0113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Подраздел 0102 «Функционирование высшего должностного лица субъекта Российской Федерации и органа местного самоуправления»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расходы: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на содержание главы Нижнереутчанского сельсовета по фонду оплаты труда с начислениями, исходя из действовавшего Закона Курской области от 14.12.2006 г. № 84-ЗКО «О предельных нормативах размера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учреждений» (с последующими изменениями и дополнениями)</w:t>
      </w:r>
      <w:proofErr w:type="gramEnd"/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 на содержание администрации Нижнереутчанского сельсовета: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по начислениям на оплату труда в соответствии с установленными Федеральными законами от 24.07.2009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и от 28.11.2009 г. № 297-ФЗ «О страховых тарифах на обязательное социальное страхование от несчастных случаев на производстве и профессиональных заболеваний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2010 год и на плановый период 2011 и 2012 годов» тарифами страховых взносов в государственные внебюджетные фонды в размере 30,2 %;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предельной штатной численности муниципальных служащих приведенной в таблице: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344"/>
        <w:gridCol w:w="3161"/>
      </w:tblGrid>
      <w:tr w:rsidR="008E554B" w:rsidTr="008E554B">
        <w:trPr>
          <w:tblCellSpacing w:w="0" w:type="dxa"/>
        </w:trPr>
        <w:tc>
          <w:tcPr>
            <w:tcW w:w="7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54B" w:rsidRDefault="008E554B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54B" w:rsidRDefault="008E554B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муниципальных служащих (штатных единиц)</w:t>
            </w:r>
          </w:p>
        </w:tc>
      </w:tr>
      <w:tr w:rsidR="008E554B" w:rsidTr="008E554B">
        <w:trPr>
          <w:tblCellSpacing w:w="0" w:type="dxa"/>
        </w:trPr>
        <w:tc>
          <w:tcPr>
            <w:tcW w:w="7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54B" w:rsidRDefault="008E554B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Нижнереутчанского сельсовета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54B" w:rsidRDefault="008E554B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554B" w:rsidTr="008E554B">
        <w:trPr>
          <w:tblCellSpacing w:w="0" w:type="dxa"/>
        </w:trPr>
        <w:tc>
          <w:tcPr>
            <w:tcW w:w="7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54B" w:rsidRDefault="008E554B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 тыс. чел.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54B" w:rsidRDefault="008E554B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5"/>
          <w:rFonts w:ascii="Tahoma" w:hAnsi="Tahoma" w:cs="Tahoma"/>
          <w:color w:val="000000"/>
          <w:sz w:val="18"/>
          <w:szCs w:val="18"/>
        </w:rPr>
        <w:t>По подразделу 0113 «Другие общегосударственные вопросы»</w:t>
      </w:r>
      <w:r>
        <w:rPr>
          <w:rFonts w:ascii="Tahoma" w:hAnsi="Tahoma" w:cs="Tahoma"/>
          <w:color w:val="000000"/>
          <w:sz w:val="18"/>
          <w:szCs w:val="18"/>
        </w:rPr>
        <w:t> предусмотрены расходы на осуществление расходных обязательств поселения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  <w:proofErr w:type="gramEnd"/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Подраздел 0106 «Обеспечение деятельности финансовых, налого</w:t>
      </w:r>
      <w:r>
        <w:rPr>
          <w:rStyle w:val="a5"/>
          <w:rFonts w:ascii="Tahoma" w:hAnsi="Tahoma" w:cs="Tahoma"/>
          <w:color w:val="000000"/>
          <w:sz w:val="18"/>
          <w:szCs w:val="18"/>
        </w:rPr>
        <w:softHyphen/>
        <w:t>вых и таможенных органов и органов финансового (финансово-бюджетного) надзора»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 данному подразделу запланированы расходы на содержание контрольно-счетных органов муниципального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–К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онтрольно-счетный орган Медвенского района Курской области по осуществлению внешнего финансового контроля и Отдел финансово – бюджетного контроля Администрации Медвенского района.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Раздел 0200 «Национальная оборона»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Подраздел 0203 «Мобилизационная и вневойсковая подготовка»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предусмотрены расходы на осуществление переданных полномочий Российской Федерации по первичному воинско</w:t>
      </w:r>
      <w:r>
        <w:rPr>
          <w:rFonts w:ascii="Tahoma" w:hAnsi="Tahoma" w:cs="Tahoma"/>
          <w:color w:val="000000"/>
          <w:sz w:val="18"/>
          <w:szCs w:val="18"/>
        </w:rPr>
        <w:softHyphen/>
        <w:t>му учету на территориях, где отсутствуют военные комиссариаты за счет средств федерального бюджета в 2020году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Раздел 0300 «Национальная безопасность и правоохранительная деятельность»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Подраздел 0314 «Другие вопросы в области национальной безопасности и правоохранительной деятельности»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предусмотрены расходы на обеспечение первичных мер пожарной безопасности в границах населенных пунктов поселений. Реализация программ муниципального образования: Муниципальная программа «Защита населения и территории  обеспечение пожарной безопасности МО Нижнереутчанского сельсовета Медвенского района Курской области на 2018-2020 годы»</w:t>
      </w:r>
    </w:p>
    <w:p w:rsidR="008E554B" w:rsidRDefault="008E554B" w:rsidP="008E554B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Раздел 0400 «Национальная экономика»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Подраздел 0412 «Другие вопросы в области национальной эконо</w:t>
      </w:r>
      <w:r>
        <w:rPr>
          <w:rStyle w:val="a5"/>
          <w:rFonts w:ascii="Tahoma" w:hAnsi="Tahoma" w:cs="Tahoma"/>
          <w:color w:val="000000"/>
          <w:sz w:val="18"/>
          <w:szCs w:val="18"/>
        </w:rPr>
        <w:softHyphen/>
        <w:t>мики»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 на утверждение генеральных планов поселений и на осуществление бюджетных инвестиций в объекты социальной и инженерной инфраструктуры на территории поселений.</w:t>
      </w:r>
    </w:p>
    <w:p w:rsidR="008E554B" w:rsidRDefault="008E554B" w:rsidP="008E554B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Раздел 0500 «Жилищно-коммунальное хозяйство»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Подраздел 0503 «Благоустройство»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 на благоустройство муниципальных образований в границах населенных пунктов, включающие уличное освещение, озеленение, расходы, связанные с содержанием мест захоронения (кладбищ), прочим мероприятиям по благоустройству городских округов и поселений, а также иные расходы по содержанию объектов благоустройства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Раздел 0700 «Образование»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Подраздел 0707 «Молодежная политика и оздоровление детей»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 данному подразделу предусмотрены расходы организацию и осуществление мероприятий по работе с детьми и молодежью.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Раздел 0800 «Культура и кинематография»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Подраздел 0801 «Культура»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По данному подразделу планируются расходы в области культуры, которые планируются: - на реализацию положе</w:t>
      </w:r>
      <w:r>
        <w:rPr>
          <w:rFonts w:ascii="Tahoma" w:hAnsi="Tahoma" w:cs="Tahoma"/>
          <w:color w:val="000000"/>
          <w:sz w:val="18"/>
          <w:szCs w:val="18"/>
        </w:rPr>
        <w:softHyphen/>
        <w:t xml:space="preserve">ний Указов Президента Российской Федерации от 28 декабря 2012 года №1688 и от 7 мая 2012 года №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597 осуществляется в соответствии со сред</w:t>
      </w:r>
      <w:r>
        <w:rPr>
          <w:rFonts w:ascii="Tahoma" w:hAnsi="Tahoma" w:cs="Tahoma"/>
          <w:color w:val="000000"/>
          <w:sz w:val="18"/>
          <w:szCs w:val="18"/>
        </w:rPr>
        <w:softHyphen/>
        <w:t>ней заработной платой категории работников, определенных в Указах Пре</w:t>
      </w:r>
      <w:r>
        <w:rPr>
          <w:rFonts w:ascii="Tahoma" w:hAnsi="Tahoma" w:cs="Tahoma"/>
          <w:color w:val="000000"/>
          <w:sz w:val="18"/>
          <w:szCs w:val="18"/>
        </w:rPr>
        <w:softHyphen/>
        <w:t>зидента Российской Федерации к средней заработной плате в регионе;</w:t>
      </w:r>
      <w:proofErr w:type="gramEnd"/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по начислениям на оплату труда – исходя из норматива 30,2%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Раздел 1000 «Социальная политика»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Подраздел 1001 «Пенсионное обеспечение»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предусмотрены расходы на выплату пенсий за выслугу лет и доплаты к пенсии муниципальным служащим.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Раздел 1100 «Физическая культура и спорт»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b/>
          <w:bCs/>
          <w:color w:val="000000"/>
          <w:sz w:val="18"/>
          <w:szCs w:val="18"/>
        </w:rPr>
        <w:t>По подразделу 1101 «Физическая культура»</w:t>
      </w:r>
    </w:p>
    <w:p w:rsidR="008E554B" w:rsidRDefault="008E554B" w:rsidP="008E554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подразделу предусмотрены расходы по обеспечению условий для развития на территории муниципального образования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EA699E" w:rsidRPr="008E554B" w:rsidRDefault="00EA699E" w:rsidP="008E554B"/>
    <w:sectPr w:rsidR="00EA699E" w:rsidRPr="008E554B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07BE"/>
    <w:rsid w:val="00305F49"/>
    <w:rsid w:val="00322DE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2D34"/>
    <w:rsid w:val="008E554B"/>
    <w:rsid w:val="008E6214"/>
    <w:rsid w:val="008F0DEA"/>
    <w:rsid w:val="008F5696"/>
    <w:rsid w:val="0092768E"/>
    <w:rsid w:val="00937EC0"/>
    <w:rsid w:val="00945222"/>
    <w:rsid w:val="009920C2"/>
    <w:rsid w:val="009E0CB1"/>
    <w:rsid w:val="00A5194A"/>
    <w:rsid w:val="00AE7137"/>
    <w:rsid w:val="00AF4591"/>
    <w:rsid w:val="00B06820"/>
    <w:rsid w:val="00BC6D1C"/>
    <w:rsid w:val="00C11868"/>
    <w:rsid w:val="00C14E79"/>
    <w:rsid w:val="00C238CE"/>
    <w:rsid w:val="00C52351"/>
    <w:rsid w:val="00C86CD6"/>
    <w:rsid w:val="00CB01EB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2659</Words>
  <Characters>15160</Characters>
  <Application>Microsoft Office Word</Application>
  <DocSecurity>0</DocSecurity>
  <Lines>126</Lines>
  <Paragraphs>35</Paragraphs>
  <ScaleCrop>false</ScaleCrop>
  <Company/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74</cp:revision>
  <dcterms:created xsi:type="dcterms:W3CDTF">2023-07-11T04:06:00Z</dcterms:created>
  <dcterms:modified xsi:type="dcterms:W3CDTF">2023-07-13T05:42:00Z</dcterms:modified>
</cp:coreProperties>
</file>