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16"/>
        <w:tblLayout w:type="fixed"/>
        <w:tblCellMar>
          <w:left w:type="dxa" w:w="0"/>
          <w:right w:type="dxa" w:w="0"/>
        </w:tblCellMar>
      </w:tblPr>
      <w:tblGrid>
        <w:gridCol w:w="4520"/>
        <w:gridCol w:w="5255"/>
      </w:tblGrid>
      <w:tr>
        <w:trPr>
          <w:trHeight w:hRule="atLeast" w:val="3254"/>
        </w:trPr>
        <w:tc>
          <w:tcPr>
            <w:tcW w:type="dxa" w:w="4520"/>
            <w:shd w:fill="auto" w:val="clear"/>
            <w:tcMar>
              <w:left w:type="dxa" w:w="0"/>
              <w:right w:type="dxa" w:w="0"/>
            </w:tcMar>
          </w:tcPr>
          <w:p w14:paraId="01000000">
            <w:pPr>
              <w:ind/>
              <w:jc w:val="center"/>
              <w:rPr>
                <w:sz w:val="12"/>
              </w:rPr>
            </w:pPr>
            <w:r>
              <w:drawing>
                <wp:inline>
                  <wp:extent cx="643255" cy="69215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43255" cy="692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ind/>
              <w:jc w:val="center"/>
              <w:rPr>
                <w:sz w:val="12"/>
              </w:rPr>
            </w:pPr>
          </w:p>
          <w:p w14:paraId="03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Государственный внебюджетный фонд</w:t>
            </w:r>
          </w:p>
          <w:p w14:paraId="04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5000000">
            <w:pPr>
              <w:spacing w:line="240" w:lineRule="exact"/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СОЦИАЛЬНЫЙ ФОНД РОССИИ</w:t>
            </w:r>
          </w:p>
          <w:p w14:paraId="06000000">
            <w:pPr>
              <w:spacing w:line="240" w:lineRule="exact"/>
              <w:ind/>
              <w:jc w:val="center"/>
              <w:rPr>
                <w:b w:val="1"/>
                <w:spacing w:val="2"/>
                <w:sz w:val="24"/>
              </w:rPr>
            </w:pPr>
          </w:p>
          <w:p w14:paraId="07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ОТДЕЛЕНИЕ ФОНДА ПЕНСИОННОГО И СОЦИАЛЬНОГО СТРАХОВАНИЯ</w:t>
            </w:r>
          </w:p>
          <w:p w14:paraId="08000000">
            <w:pPr>
              <w:spacing w:line="240" w:lineRule="exact"/>
              <w:ind/>
              <w:jc w:val="center"/>
              <w:rPr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РОССИЙСКОЙ ФЕДЕРАЦИИ</w:t>
            </w:r>
          </w:p>
          <w:p w14:paraId="09000000">
            <w:pPr>
              <w:spacing w:line="240" w:lineRule="exact"/>
              <w:ind/>
              <w:jc w:val="center"/>
              <w:rPr>
                <w:rFonts w:ascii="Arial" w:hAnsi="Arial"/>
                <w:b w:val="1"/>
                <w:spacing w:val="2"/>
                <w:sz w:val="22"/>
              </w:rPr>
            </w:pPr>
            <w:r>
              <w:rPr>
                <w:b w:val="1"/>
                <w:spacing w:val="2"/>
                <w:sz w:val="22"/>
              </w:rPr>
              <w:t>ПО КУРСКОЙ ОБЛАСТИ</w:t>
            </w:r>
          </w:p>
          <w:p w14:paraId="0A000000">
            <w:pPr>
              <w:spacing w:line="360" w:lineRule="auto"/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(ОСФР по Курской области)</w:t>
            </w:r>
          </w:p>
          <w:p w14:paraId="0B000000">
            <w:pPr>
              <w:spacing w:line="100" w:lineRule="atLeast"/>
              <w:ind/>
              <w:jc w:val="center"/>
              <w:rPr>
                <w:b w:val="1"/>
                <w:spacing w:val="2"/>
              </w:rPr>
            </w:pPr>
            <w:r>
              <w:rPr>
                <w:b w:val="1"/>
                <w:spacing w:val="2"/>
              </w:rPr>
              <w:t>КЛИЕНТСКАЯ СЛУЖБА</w:t>
            </w:r>
          </w:p>
          <w:p w14:paraId="0C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b w:val="1"/>
                <w:spacing w:val="2"/>
              </w:rPr>
              <w:t xml:space="preserve">(НА ПРАВАХ </w:t>
            </w:r>
            <w:r>
              <w:rPr>
                <w:b w:val="1"/>
                <w:spacing w:val="2"/>
              </w:rPr>
              <w:t>ГРУППЫ</w:t>
            </w:r>
            <w:r>
              <w:rPr>
                <w:b w:val="1"/>
                <w:spacing w:val="2"/>
              </w:rPr>
              <w:t xml:space="preserve">) </w:t>
            </w:r>
            <w:r>
              <w:rPr>
                <w:b w:val="1"/>
                <w:spacing w:val="2"/>
              </w:rPr>
              <w:t>В МЕДВЕНСКОМ РАЙОНЕ</w:t>
            </w:r>
          </w:p>
          <w:p w14:paraId="0D000000">
            <w:pPr>
              <w:ind/>
              <w:jc w:val="center"/>
              <w:rPr>
                <w:spacing w:val="2"/>
                <w:sz w:val="22"/>
              </w:rPr>
            </w:pPr>
          </w:p>
          <w:p w14:paraId="0E000000">
            <w:pPr>
              <w:ind/>
              <w:jc w:val="center"/>
              <w:rPr>
                <w:spacing w:val="2"/>
                <w:sz w:val="22"/>
                <w:highlight w:val="yellow"/>
              </w:rPr>
            </w:pPr>
            <w:r>
              <w:rPr>
                <w:spacing w:val="2"/>
                <w:sz w:val="22"/>
              </w:rPr>
              <w:t>Промышленный пер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 xml:space="preserve">, </w:t>
            </w:r>
            <w:r>
              <w:rPr>
                <w:spacing w:val="2"/>
                <w:sz w:val="22"/>
              </w:rPr>
              <w:t>д. 4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п. Медвенка</w:t>
            </w:r>
            <w:r>
              <w:rPr>
                <w:spacing w:val="2"/>
                <w:sz w:val="22"/>
              </w:rPr>
              <w:t xml:space="preserve">, Медвенский район, </w:t>
            </w:r>
            <w:r>
              <w:rPr>
                <w:spacing w:val="2"/>
                <w:sz w:val="22"/>
              </w:rPr>
              <w:t xml:space="preserve"> Курская область</w:t>
            </w:r>
            <w:r>
              <w:rPr>
                <w:spacing w:val="2"/>
                <w:sz w:val="22"/>
              </w:rPr>
              <w:t>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pacing w:val="2"/>
                <w:sz w:val="22"/>
              </w:rPr>
              <w:t>307030</w:t>
            </w:r>
          </w:p>
          <w:p w14:paraId="0F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тел</w:t>
            </w:r>
            <w:r>
              <w:rPr>
                <w:spacing w:val="2"/>
                <w:sz w:val="22"/>
              </w:rPr>
              <w:t>: 8(47146)4-12-10</w:t>
            </w:r>
            <w:r>
              <w:rPr>
                <w:spacing w:val="2"/>
                <w:sz w:val="22"/>
              </w:rPr>
              <w:t xml:space="preserve"> </w:t>
            </w:r>
          </w:p>
          <w:p w14:paraId="10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E</w:t>
            </w:r>
            <w:r>
              <w:rPr>
                <w:spacing w:val="2"/>
                <w:sz w:val="22"/>
              </w:rPr>
              <w:t>-</w:t>
            </w:r>
            <w:r>
              <w:rPr>
                <w:spacing w:val="2"/>
                <w:sz w:val="22"/>
              </w:rPr>
              <w:t>mail</w:t>
            </w:r>
            <w:r>
              <w:rPr>
                <w:spacing w:val="2"/>
                <w:sz w:val="22"/>
              </w:rPr>
              <w:t xml:space="preserve">: </w:t>
            </w:r>
            <w:r>
              <w:rPr>
                <w:spacing w:val="2"/>
                <w:sz w:val="22"/>
              </w:rPr>
              <w:t>admin</w:t>
            </w:r>
            <w:r>
              <w:rPr>
                <w:spacing w:val="2"/>
                <w:sz w:val="22"/>
              </w:rPr>
              <w:t>01</w:t>
            </w:r>
            <w:r>
              <w:rPr>
                <w:spacing w:val="2"/>
                <w:sz w:val="22"/>
              </w:rPr>
              <w:t>5</w:t>
            </w:r>
            <w:r>
              <w:rPr>
                <w:spacing w:val="2"/>
                <w:sz w:val="22"/>
              </w:rPr>
              <w:t>@056.</w:t>
            </w:r>
            <w:r>
              <w:rPr>
                <w:spacing w:val="2"/>
                <w:sz w:val="22"/>
              </w:rPr>
              <w:t>pfr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gov</w:t>
            </w:r>
            <w:r>
              <w:rPr>
                <w:spacing w:val="2"/>
                <w:sz w:val="22"/>
              </w:rPr>
              <w:t>.</w:t>
            </w:r>
            <w:r>
              <w:rPr>
                <w:spacing w:val="2"/>
                <w:sz w:val="22"/>
              </w:rPr>
              <w:t>ru</w:t>
            </w:r>
          </w:p>
          <w:p w14:paraId="11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ОГРН</w:t>
            </w:r>
            <w:r>
              <w:rPr>
                <w:spacing w:val="2"/>
                <w:sz w:val="22"/>
              </w:rPr>
              <w:t xml:space="preserve"> 1024600968215</w:t>
            </w:r>
          </w:p>
          <w:p w14:paraId="12000000">
            <w:pPr>
              <w:ind/>
              <w:jc w:val="center"/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ИНН/КПП 4629026988/463201001</w:t>
            </w:r>
          </w:p>
          <w:p w14:paraId="13000000">
            <w:pPr>
              <w:ind/>
              <w:jc w:val="center"/>
              <w:rPr>
                <w:spacing w:val="2"/>
                <w:sz w:val="14"/>
              </w:rPr>
            </w:pPr>
          </w:p>
          <w:p w14:paraId="14000000">
            <w:pPr>
              <w:spacing w:line="360" w:lineRule="auto"/>
              <w:ind/>
              <w:jc w:val="center"/>
              <w:rPr>
                <w:spacing w:val="2"/>
                <w:sz w:val="18"/>
              </w:rPr>
            </w:pPr>
            <w:r>
              <w:rPr>
                <w:spacing w:val="2"/>
                <w:sz w:val="24"/>
              </w:rPr>
              <w:t>04.04</w:t>
            </w:r>
            <w:r>
              <w:rPr>
                <w:spacing w:val="2"/>
                <w:sz w:val="24"/>
              </w:rPr>
              <w:t>.202</w:t>
            </w:r>
            <w:r>
              <w:rPr>
                <w:spacing w:val="2"/>
                <w:sz w:val="24"/>
              </w:rPr>
              <w:t>5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___</w:t>
            </w:r>
            <w:r>
              <w:rPr>
                <w:spacing w:val="2"/>
                <w:sz w:val="24"/>
              </w:rPr>
              <w:t>№</w:t>
            </w:r>
            <w:r>
              <w:rPr>
                <w:b w:val="1"/>
                <w:spacing w:val="2"/>
                <w:sz w:val="24"/>
              </w:rPr>
              <w:t>_</w:t>
            </w:r>
            <w:r>
              <w:rPr>
                <w:spacing w:val="2"/>
                <w:sz w:val="24"/>
              </w:rPr>
              <w:t>46-</w:t>
            </w:r>
            <w:r>
              <w:rPr>
                <w:spacing w:val="2"/>
                <w:sz w:val="24"/>
              </w:rPr>
              <w:t>13</w:t>
            </w:r>
            <w:r>
              <w:rPr>
                <w:spacing w:val="2"/>
                <w:sz w:val="24"/>
              </w:rPr>
              <w:t>/</w:t>
            </w:r>
            <w:r>
              <w:rPr>
                <w:spacing w:val="2"/>
                <w:sz w:val="24"/>
              </w:rPr>
              <w:t>1</w:t>
            </w:r>
            <w:r>
              <w:rPr>
                <w:spacing w:val="2"/>
                <w:sz w:val="24"/>
              </w:rPr>
              <w:t>____</w:t>
            </w:r>
          </w:p>
          <w:p w14:paraId="15000000">
            <w:pPr>
              <w:ind/>
              <w:jc w:val="both"/>
            </w:pPr>
            <w:r>
              <w:rPr>
                <w:spacing w:val="2"/>
                <w:sz w:val="18"/>
              </w:rPr>
              <w:t xml:space="preserve">     На №__________________от___________________</w:t>
            </w:r>
          </w:p>
        </w:tc>
        <w:tc>
          <w:tcPr>
            <w:tcW w:type="dxa" w:w="5255"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ind/>
              <w:jc w:val="right"/>
            </w:pPr>
          </w:p>
          <w:p w14:paraId="17000000">
            <w:pPr>
              <w:ind/>
              <w:jc w:val="right"/>
              <w:rPr>
                <w:i w:val="1"/>
                <w:sz w:val="28"/>
              </w:rPr>
            </w:pPr>
            <w:r>
              <w:tab/>
            </w:r>
            <w:r>
              <w:rPr>
                <w:i w:val="1"/>
                <w:sz w:val="28"/>
              </w:rPr>
              <w:t xml:space="preserve">Электронная почта </w:t>
            </w:r>
          </w:p>
          <w:p w14:paraId="18000000">
            <w:pPr>
              <w:ind/>
              <w:jc w:val="right"/>
              <w:rPr>
                <w:sz w:val="28"/>
              </w:rPr>
            </w:pPr>
          </w:p>
          <w:p w14:paraId="19000000">
            <w:pPr>
              <w:pStyle w:val="Style_2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Главам муниципальных образований</w:t>
            </w:r>
          </w:p>
          <w:p w14:paraId="1A000000">
            <w:pPr>
              <w:ind/>
              <w:jc w:val="center"/>
              <w:rPr>
                <w:sz w:val="28"/>
              </w:rPr>
            </w:pPr>
          </w:p>
          <w:p w14:paraId="1B000000">
            <w:pPr>
              <w:ind/>
              <w:jc w:val="right"/>
            </w:pPr>
          </w:p>
          <w:p w14:paraId="1C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</w:t>
            </w:r>
          </w:p>
          <w:p w14:paraId="1D000000">
            <w:pPr>
              <w:tabs>
                <w:tab w:leader="none" w:pos="6465" w:val="left"/>
              </w:tabs>
              <w:ind/>
              <w:jc w:val="right"/>
              <w:rPr>
                <w:sz w:val="28"/>
              </w:rPr>
            </w:pPr>
          </w:p>
        </w:tc>
      </w:tr>
    </w:tbl>
    <w:p w14:paraId="1E000000">
      <w:pPr>
        <w:spacing w:line="100" w:lineRule="atLeast"/>
        <w:ind/>
        <w:rPr>
          <w:sz w:val="28"/>
        </w:rPr>
      </w:pPr>
    </w:p>
    <w:p w14:paraId="1F000000">
      <w:pPr>
        <w:pStyle w:val="Style_2"/>
        <w:ind w:firstLine="850" w:left="0"/>
        <w:jc w:val="both"/>
        <w:rPr>
          <w:sz w:val="28"/>
        </w:rPr>
      </w:pPr>
    </w:p>
    <w:p w14:paraId="20000000">
      <w:pPr>
        <w:pStyle w:val="Style_2"/>
        <w:ind w:firstLine="850" w:left="0"/>
        <w:jc w:val="both"/>
        <w:rPr>
          <w:sz w:val="28"/>
        </w:rPr>
      </w:pPr>
    </w:p>
    <w:p w14:paraId="21000000">
      <w:pPr>
        <w:pStyle w:val="Style_2"/>
        <w:ind w:firstLine="850" w:left="0"/>
        <w:jc w:val="both"/>
        <w:rPr>
          <w:sz w:val="28"/>
        </w:rPr>
      </w:pPr>
      <w:r>
        <w:rPr>
          <w:sz w:val="28"/>
        </w:rPr>
        <w:t>Клиентская служба (на правах группы) в Медвенском  районе Отделения Пенсионного Фонда РФ по Курской области просит опубликовать на странице вашего сайта информационный материал:</w:t>
      </w:r>
    </w:p>
    <w:p w14:paraId="22000000">
      <w:pPr>
        <w:pStyle w:val="Style_3"/>
        <w:ind w:firstLine="567" w:left="0"/>
        <w:jc w:val="both"/>
        <w:rPr>
          <w:sz w:val="28"/>
        </w:rPr>
      </w:pP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3000000">
      <w:pPr>
        <w:pStyle w:val="Style_3"/>
        <w:ind w:firstLine="567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Работодателям Курской области необходимо подтвердить основной вид экономической деятельности не позднее 15 апреля. </w:t>
      </w:r>
    </w:p>
    <w:p w14:paraId="24000000">
      <w:pPr>
        <w:pStyle w:val="Style_3"/>
        <w:ind w:firstLine="709" w:left="0"/>
        <w:jc w:val="both"/>
        <w:rPr>
          <w:sz w:val="28"/>
        </w:rPr>
      </w:pPr>
    </w:p>
    <w:p w14:paraId="25000000">
      <w:pPr>
        <w:ind w:firstLine="850" w:left="0"/>
        <w:rPr>
          <w:sz w:val="28"/>
        </w:rPr>
      </w:pPr>
    </w:p>
    <w:p w14:paraId="26000000">
      <w:pPr>
        <w:ind w:firstLine="850" w:left="0"/>
        <w:rPr>
          <w:sz w:val="28"/>
        </w:rPr>
      </w:pPr>
    </w:p>
    <w:p w14:paraId="27000000">
      <w:pPr>
        <w:ind w:firstLine="850" w:left="0"/>
        <w:rPr>
          <w:sz w:val="28"/>
        </w:rPr>
      </w:pPr>
      <w:r>
        <w:rPr>
          <w:sz w:val="28"/>
        </w:rPr>
        <w:t xml:space="preserve">Приложение:  на </w:t>
      </w:r>
      <w:r>
        <w:rPr>
          <w:sz w:val="28"/>
        </w:rPr>
        <w:t>1</w:t>
      </w:r>
      <w:r>
        <w:rPr>
          <w:sz w:val="28"/>
        </w:rPr>
        <w:t xml:space="preserve"> л. в 1 экз</w:t>
      </w:r>
      <w:r>
        <w:rPr>
          <w:sz w:val="28"/>
        </w:rPr>
        <w:t>.</w:t>
      </w:r>
      <w:r>
        <w:rPr>
          <w:sz w:val="28"/>
        </w:rPr>
        <w:t xml:space="preserve">           </w:t>
      </w:r>
    </w:p>
    <w:p w14:paraId="28000000">
      <w:pPr>
        <w:ind w:firstLine="850" w:left="0"/>
        <w:rPr>
          <w:sz w:val="24"/>
        </w:rPr>
      </w:pPr>
    </w:p>
    <w:p w14:paraId="29000000">
      <w:pPr>
        <w:ind w:firstLine="850" w:left="0"/>
        <w:rPr>
          <w:sz w:val="24"/>
        </w:rPr>
      </w:pPr>
      <w:r>
        <w:rPr>
          <w:sz w:val="24"/>
        </w:rPr>
        <w:t xml:space="preserve">  </w:t>
      </w:r>
    </w:p>
    <w:p w14:paraId="2A000000">
      <w:pPr>
        <w:ind w:firstLine="850" w:left="0"/>
        <w:rPr>
          <w:sz w:val="28"/>
        </w:rPr>
      </w:pPr>
      <w:r>
        <w:rPr>
          <w:sz w:val="28"/>
        </w:rPr>
        <w:t xml:space="preserve">Руководитель КС          </w:t>
      </w:r>
      <w:r>
        <w:rPr>
          <w:sz w:val="28"/>
        </w:rPr>
        <w:tab/>
      </w: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        </w:t>
      </w:r>
      <w:r>
        <w:rPr>
          <w:sz w:val="28"/>
        </w:rPr>
        <w:t>С.В.Левина</w:t>
      </w:r>
    </w:p>
    <w:p w14:paraId="2B000000">
      <w:pPr>
        <w:ind w:firstLine="850" w:left="0"/>
        <w:rPr>
          <w:sz w:val="24"/>
        </w:rPr>
      </w:pPr>
    </w:p>
    <w:p w14:paraId="2C000000">
      <w:pPr>
        <w:ind w:firstLine="850" w:left="0"/>
        <w:rPr>
          <w:sz w:val="24"/>
        </w:rPr>
      </w:pPr>
    </w:p>
    <w:p w14:paraId="2D000000">
      <w:pPr>
        <w:ind w:firstLine="850" w:left="0"/>
        <w:rPr>
          <w:sz w:val="21"/>
        </w:rPr>
      </w:pPr>
    </w:p>
    <w:p w14:paraId="2E000000">
      <w:pPr>
        <w:ind w:firstLine="850" w:left="0"/>
        <w:rPr>
          <w:sz w:val="21"/>
        </w:rPr>
      </w:pPr>
    </w:p>
    <w:p w14:paraId="2F000000">
      <w:pPr>
        <w:ind w:firstLine="850" w:left="0"/>
        <w:rPr>
          <w:sz w:val="21"/>
        </w:rPr>
      </w:pPr>
    </w:p>
    <w:p w14:paraId="30000000">
      <w:pPr>
        <w:ind w:firstLine="850" w:left="0"/>
        <w:rPr>
          <w:sz w:val="21"/>
        </w:rPr>
      </w:pPr>
    </w:p>
    <w:p w14:paraId="31000000">
      <w:pPr>
        <w:ind w:firstLine="850" w:left="0"/>
        <w:rPr>
          <w:sz w:val="21"/>
        </w:rPr>
      </w:pPr>
    </w:p>
    <w:p w14:paraId="32000000">
      <w:pPr>
        <w:ind w:firstLine="850" w:left="0"/>
        <w:rPr>
          <w:sz w:val="21"/>
        </w:rPr>
      </w:pPr>
      <w:r>
        <w:rPr>
          <w:sz w:val="21"/>
        </w:rPr>
        <w:t>исп. С.Н. Мартемьянова</w:t>
      </w:r>
    </w:p>
    <w:p w14:paraId="33000000">
      <w:pPr>
        <w:ind w:firstLine="850" w:left="0"/>
        <w:rPr>
          <w:sz w:val="28"/>
          <w:u w:val="single"/>
        </w:rPr>
      </w:pPr>
      <w:r>
        <w:rPr>
          <w:sz w:val="21"/>
        </w:rPr>
        <w:t>8(47146)4-13-92</w:t>
      </w:r>
    </w:p>
    <w:sectPr>
      <w:pgSz w:h="16838" w:orient="portrait" w:w="11906"/>
      <w:pgMar w:bottom="851" w:footer="720" w:gutter="0" w:header="720" w:left="1210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Balloon Text"/>
    <w:basedOn w:val="Style_4"/>
    <w:link w:val="Style_5_ch"/>
    <w:rPr>
      <w:rFonts w:ascii="Tahoma" w:hAnsi="Tahoma"/>
      <w:sz w:val="16"/>
    </w:rPr>
  </w:style>
  <w:style w:styleId="Style_5_ch" w:type="character">
    <w:name w:val="Balloon Text"/>
    <w:basedOn w:val="Style_4_ch"/>
    <w:link w:val="Style_5"/>
    <w:rPr>
      <w:rFonts w:ascii="Tahoma" w:hAnsi="Tahoma"/>
      <w:sz w:val="16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8" w:type="paragraph">
    <w:name w:val="WW-Absatz-Standardschriftart111"/>
    <w:link w:val="Style_8_ch"/>
  </w:style>
  <w:style w:styleId="Style_8_ch" w:type="character">
    <w:name w:val="WW-Absatz-Standardschriftart111"/>
    <w:link w:val="Style_8"/>
  </w:style>
  <w:style w:styleId="Style_9" w:type="paragraph">
    <w:name w:val="WW-Absatz-Standardschriftart1111111"/>
    <w:link w:val="Style_9_ch"/>
  </w:style>
  <w:style w:styleId="Style_9_ch" w:type="character">
    <w:name w:val="WW-Absatz-Standardschriftart1111111"/>
    <w:link w:val="Style_9"/>
  </w:style>
  <w:style w:styleId="Style_10" w:type="paragraph">
    <w:name w:val="Обычный отступ1"/>
    <w:basedOn w:val="Style_4"/>
    <w:link w:val="Style_10_ch"/>
    <w:pPr>
      <w:spacing w:line="360" w:lineRule="auto"/>
      <w:ind w:firstLine="624" w:left="0" w:right="0"/>
      <w:jc w:val="both"/>
    </w:pPr>
    <w:rPr>
      <w:sz w:val="28"/>
    </w:rPr>
  </w:style>
  <w:style w:styleId="Style_10_ch" w:type="character">
    <w:name w:val="Обычный отступ1"/>
    <w:basedOn w:val="Style_4_ch"/>
    <w:link w:val="Style_10"/>
    <w:rPr>
      <w:sz w:val="28"/>
    </w:rPr>
  </w:style>
  <w:style w:styleId="Style_11" w:type="paragraph">
    <w:name w:val="Название2"/>
    <w:basedOn w:val="Style_4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Название2"/>
    <w:basedOn w:val="Style_4_ch"/>
    <w:link w:val="Style_11"/>
    <w:rPr>
      <w:i w:val="1"/>
      <w:sz w:val="24"/>
    </w:rPr>
  </w:style>
  <w:style w:styleId="Style_12" w:type="paragraph">
    <w:name w:val="toc 6"/>
    <w:next w:val="Style_4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Заголовок"/>
    <w:basedOn w:val="Style_4"/>
    <w:next w:val="Style_14"/>
    <w:link w:val="Style_13_ch"/>
    <w:pPr>
      <w:keepNext w:val="1"/>
      <w:spacing w:after="120" w:before="240"/>
      <w:ind/>
    </w:pPr>
    <w:rPr>
      <w:rFonts w:ascii="Arial" w:hAnsi="Arial"/>
      <w:sz w:val="28"/>
    </w:rPr>
  </w:style>
  <w:style w:styleId="Style_13_ch" w:type="character">
    <w:name w:val="Заголовок"/>
    <w:basedOn w:val="Style_4_ch"/>
    <w:link w:val="Style_13"/>
    <w:rPr>
      <w:rFonts w:ascii="Arial" w:hAnsi="Arial"/>
      <w:sz w:val="28"/>
    </w:rPr>
  </w:style>
  <w:style w:styleId="Style_15" w:type="paragraph">
    <w:name w:val="toc 7"/>
    <w:next w:val="Style_4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heading 3"/>
    <w:next w:val="Style_4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Указатель1"/>
    <w:basedOn w:val="Style_4"/>
    <w:link w:val="Style_17_ch"/>
    <w:rPr>
      <w:rFonts w:ascii="Arial" w:hAnsi="Arial"/>
    </w:rPr>
  </w:style>
  <w:style w:styleId="Style_17_ch" w:type="character">
    <w:name w:val="Указатель1"/>
    <w:basedOn w:val="Style_4_ch"/>
    <w:link w:val="Style_17"/>
    <w:rPr>
      <w:rFonts w:ascii="Arial" w:hAnsi="Arial"/>
    </w:rPr>
  </w:style>
  <w:style w:styleId="Style_18" w:type="paragraph">
    <w:name w:val="Содержимое таблицы"/>
    <w:basedOn w:val="Style_4"/>
    <w:link w:val="Style_18_ch"/>
  </w:style>
  <w:style w:styleId="Style_18_ch" w:type="character">
    <w:name w:val="Содержимое таблицы"/>
    <w:basedOn w:val="Style_4_ch"/>
    <w:link w:val="Style_18"/>
  </w:style>
  <w:style w:styleId="Style_19" w:type="paragraph">
    <w:name w:val="WW-Absatz-Standardschriftart11111"/>
    <w:link w:val="Style_19_ch"/>
  </w:style>
  <w:style w:styleId="Style_19_ch" w:type="character">
    <w:name w:val="WW-Absatz-Standardschriftart11111"/>
    <w:link w:val="Style_19"/>
  </w:style>
  <w:style w:styleId="Style_20" w:type="paragraph">
    <w:name w:val="Заголовок таблицы"/>
    <w:basedOn w:val="Style_18"/>
    <w:link w:val="Style_20_ch"/>
    <w:pPr>
      <w:ind/>
      <w:jc w:val="center"/>
    </w:pPr>
    <w:rPr>
      <w:b w:val="1"/>
    </w:rPr>
  </w:style>
  <w:style w:styleId="Style_20_ch" w:type="character">
    <w:name w:val="Заголовок таблицы"/>
    <w:basedOn w:val="Style_18_ch"/>
    <w:link w:val="Style_20"/>
    <w:rPr>
      <w:b w:val="1"/>
    </w:rPr>
  </w:style>
  <w:style w:styleId="Style_21" w:type="paragraph">
    <w:name w:val="WW-Absatz-Standardschriftart111111111"/>
    <w:link w:val="Style_21_ch"/>
  </w:style>
  <w:style w:styleId="Style_21_ch" w:type="character">
    <w:name w:val="WW-Absatz-Standardschriftart111111111"/>
    <w:link w:val="Style_21"/>
  </w:style>
  <w:style w:styleId="Style_22" w:type="paragraph">
    <w:name w:val="toc 3"/>
    <w:next w:val="Style_4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Con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Nonformat"/>
    <w:link w:val="Style_23"/>
    <w:rPr>
      <w:rFonts w:ascii="Courier New" w:hAnsi="Courier New"/>
    </w:rPr>
  </w:style>
  <w:style w:styleId="Style_24" w:type="paragraph">
    <w:name w:val="WW-Absatz-Standardschriftart11"/>
    <w:link w:val="Style_24_ch"/>
  </w:style>
  <w:style w:styleId="Style_24_ch" w:type="character">
    <w:name w:val="WW-Absatz-Standardschriftart11"/>
    <w:link w:val="Style_24"/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Normal (Web)"/>
    <w:basedOn w:val="Style_4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Normal (Web)"/>
    <w:basedOn w:val="Style_4_ch"/>
    <w:link w:val="Style_26"/>
    <w:rPr>
      <w:sz w:val="24"/>
    </w:rPr>
  </w:style>
  <w:style w:styleId="Style_27" w:type="paragraph">
    <w:name w:val="Строгий1"/>
    <w:basedOn w:val="Style_4"/>
    <w:link w:val="Style_27_ch"/>
    <w:pPr>
      <w:spacing w:after="200" w:line="276" w:lineRule="auto"/>
      <w:ind/>
    </w:pPr>
    <w:rPr>
      <w:b w:val="1"/>
    </w:rPr>
  </w:style>
  <w:style w:styleId="Style_27_ch" w:type="character">
    <w:name w:val="Строгий1"/>
    <w:basedOn w:val="Style_4_ch"/>
    <w:link w:val="Style_27"/>
    <w:rPr>
      <w:b w:val="1"/>
    </w:rPr>
  </w:style>
  <w:style w:styleId="Style_28" w:type="paragraph">
    <w:name w:val="Absatz-Standardschriftart"/>
    <w:link w:val="Style_28_ch"/>
  </w:style>
  <w:style w:styleId="Style_28_ch" w:type="character">
    <w:name w:val="Absatz-Standardschriftart"/>
    <w:link w:val="Style_28"/>
  </w:style>
  <w:style w:styleId="Style_29" w:type="paragraph">
    <w:name w:val="heading 5"/>
    <w:next w:val="Style_4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Название1"/>
    <w:basedOn w:val="Style_4"/>
    <w:link w:val="Style_30_ch"/>
    <w:pPr>
      <w:spacing w:after="120" w:before="120"/>
      <w:ind/>
    </w:pPr>
    <w:rPr>
      <w:rFonts w:ascii="Arial" w:hAnsi="Arial"/>
      <w:i w:val="1"/>
      <w:sz w:val="20"/>
    </w:rPr>
  </w:style>
  <w:style w:styleId="Style_30_ch" w:type="character">
    <w:name w:val="Название1"/>
    <w:basedOn w:val="Style_4_ch"/>
    <w:link w:val="Style_30"/>
    <w:rPr>
      <w:rFonts w:ascii="Arial" w:hAnsi="Arial"/>
      <w:i w:val="1"/>
      <w:sz w:val="20"/>
    </w:rPr>
  </w:style>
  <w:style w:styleId="Style_31" w:type="paragraph">
    <w:name w:val="heading 1"/>
    <w:basedOn w:val="Style_4"/>
    <w:next w:val="Style_4"/>
    <w:link w:val="Style_31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31_ch" w:type="character">
    <w:name w:val="heading 1"/>
    <w:basedOn w:val="Style_4_ch"/>
    <w:link w:val="Style_31"/>
    <w:rPr>
      <w:rFonts w:ascii="Cambria" w:hAnsi="Cambria"/>
      <w:b w:val="1"/>
      <w:sz w:val="32"/>
    </w:rPr>
  </w:style>
  <w:style w:styleId="Style_32" w:type="paragraph">
    <w:name w:val="List"/>
    <w:basedOn w:val="Style_14"/>
    <w:link w:val="Style_32_ch"/>
    <w:rPr>
      <w:rFonts w:ascii="Arial" w:hAnsi="Arial"/>
    </w:rPr>
  </w:style>
  <w:style w:styleId="Style_32_ch" w:type="character">
    <w:name w:val="List"/>
    <w:basedOn w:val="Style_14_ch"/>
    <w:link w:val="Style_32"/>
    <w:rPr>
      <w:rFonts w:ascii="Arial" w:hAnsi="Arial"/>
    </w:rPr>
  </w:style>
  <w:style w:styleId="Style_33" w:type="paragraph">
    <w:name w:val="Указатель2"/>
    <w:basedOn w:val="Style_4"/>
    <w:link w:val="Style_33_ch"/>
  </w:style>
  <w:style w:styleId="Style_33_ch" w:type="character">
    <w:name w:val="Указатель2"/>
    <w:basedOn w:val="Style_4_ch"/>
    <w:link w:val="Style_33"/>
  </w:style>
  <w:style w:styleId="Style_34" w:type="paragraph">
    <w:name w:val="WW-Absatz-Standardschriftart1"/>
    <w:link w:val="Style_34_ch"/>
  </w:style>
  <w:style w:styleId="Style_34_ch" w:type="character">
    <w:name w:val="WW-Absatz-Standardschriftart1"/>
    <w:link w:val="Style_34"/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4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WW-Absatz-Standardschriftart1111"/>
    <w:link w:val="Style_39_ch"/>
  </w:style>
  <w:style w:styleId="Style_39_ch" w:type="character">
    <w:name w:val="WW-Absatz-Standardschriftart1111"/>
    <w:link w:val="Style_39"/>
  </w:style>
  <w:style w:styleId="Style_40" w:type="paragraph">
    <w:name w:val="toc 9"/>
    <w:next w:val="Style_4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Основной шрифт абзаца2"/>
    <w:link w:val="Style_41_ch"/>
  </w:style>
  <w:style w:styleId="Style_41_ch" w:type="character">
    <w:name w:val="Основной шрифт абзаца2"/>
    <w:link w:val="Style_41"/>
  </w:style>
  <w:style w:styleId="Style_42" w:type="paragraph">
    <w:name w:val="toc 8"/>
    <w:next w:val="Style_4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2" w:type="paragraph">
    <w:name w:val="Body Text Indent"/>
    <w:basedOn w:val="Style_4"/>
    <w:link w:val="Style_2_ch"/>
    <w:pPr>
      <w:spacing w:after="120"/>
      <w:ind w:firstLine="0" w:left="283"/>
    </w:pPr>
    <w:rPr>
      <w:sz w:val="24"/>
    </w:rPr>
  </w:style>
  <w:style w:styleId="Style_2_ch" w:type="character">
    <w:name w:val="Body Text Indent"/>
    <w:basedOn w:val="Style_4_ch"/>
    <w:link w:val="Style_2"/>
    <w:rPr>
      <w:sz w:val="24"/>
    </w:rPr>
  </w:style>
  <w:style w:styleId="Style_43" w:type="paragraph">
    <w:name w:val="toc 5"/>
    <w:next w:val="Style_4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WW-Absatz-Standardschriftart111111"/>
    <w:link w:val="Style_44_ch"/>
  </w:style>
  <w:style w:styleId="Style_44_ch" w:type="character">
    <w:name w:val="WW-Absatz-Standardschriftart111111"/>
    <w:link w:val="Style_44"/>
  </w:style>
  <w:style w:styleId="Style_45" w:type="paragraph">
    <w:name w:val="WW-Absatz-Standardschriftart"/>
    <w:link w:val="Style_45_ch"/>
  </w:style>
  <w:style w:styleId="Style_45_ch" w:type="character">
    <w:name w:val="WW-Absatz-Standardschriftart"/>
    <w:link w:val="Style_45"/>
  </w:style>
  <w:style w:styleId="Style_46" w:type="paragraph">
    <w:name w:val="WW-Absatz-Standardschriftart1111111111"/>
    <w:link w:val="Style_46_ch"/>
  </w:style>
  <w:style w:styleId="Style_46_ch" w:type="character">
    <w:name w:val="WW-Absatz-Standardschriftart1111111111"/>
    <w:link w:val="Style_46"/>
  </w:style>
  <w:style w:styleId="Style_47" w:type="paragraph">
    <w:name w:val="Subtitle"/>
    <w:next w:val="Style_4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Title"/>
    <w:next w:val="Style_4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next w:val="Style_4"/>
    <w:link w:val="Style_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heading 2"/>
    <w:next w:val="Style_4"/>
    <w:link w:val="Style_5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1" w:type="paragraph">
    <w:name w:val="WW-Absatz-Standardschriftart11111111"/>
    <w:link w:val="Style_51_ch"/>
  </w:style>
  <w:style w:styleId="Style_51_ch" w:type="character">
    <w:name w:val="WW-Absatz-Standardschriftart11111111"/>
    <w:link w:val="Style_51"/>
  </w:style>
  <w:style w:styleId="Style_52" w:type="paragraph">
    <w:name w:val="Default Paragraph Font"/>
    <w:link w:val="Style_52_ch"/>
  </w:style>
  <w:style w:styleId="Style_52_ch" w:type="character">
    <w:name w:val="Default Paragraph Font"/>
    <w:link w:val="Style_52"/>
  </w:style>
  <w:style w:styleId="Style_14" w:type="paragraph">
    <w:name w:val="Body Text"/>
    <w:basedOn w:val="Style_4"/>
    <w:link w:val="Style_14_ch"/>
    <w:pPr>
      <w:spacing w:after="120" w:before="0"/>
      <w:ind/>
    </w:pPr>
  </w:style>
  <w:style w:styleId="Style_14_ch" w:type="character">
    <w:name w:val="Body Text"/>
    <w:basedOn w:val="Style_4_ch"/>
    <w:link w:val="Style_14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2025-04-09T11:22:27Z</dcterms:modified>
</cp:coreProperties>
</file>