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B082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2569E1" wp14:editId="4C5BA65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7344FE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A8EFA" w14:textId="77777777" w:rsidR="009A7808" w:rsidRPr="001F0982" w:rsidRDefault="009A7808" w:rsidP="001F098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2BBEA55" w14:textId="77777777" w:rsidR="00902DE7" w:rsidRDefault="00D70EEF" w:rsidP="00C443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Росреестр </w:t>
      </w:r>
      <w:r w:rsidR="005B1B7B">
        <w:rPr>
          <w:rFonts w:ascii="Times New Roman" w:hAnsi="Times New Roman" w:cs="Times New Roman"/>
          <w:b/>
          <w:sz w:val="28"/>
          <w:szCs w:val="28"/>
        </w:rPr>
        <w:t>зарегистрировал 646 договоров участия в долевом строительстве с начала года</w:t>
      </w:r>
    </w:p>
    <w:p w14:paraId="1E198CBB" w14:textId="77777777" w:rsidR="00233913" w:rsidRPr="009D410B" w:rsidRDefault="005B1B7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начала </w:t>
      </w:r>
      <w:r w:rsid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2025 года Управление</w:t>
      </w:r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 по </w:t>
      </w:r>
      <w:r w:rsid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Курской области зарегистрировало</w:t>
      </w:r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646 договоров участия в долевом строительстве. </w:t>
      </w:r>
    </w:p>
    <w:p w14:paraId="5538B135" w14:textId="77777777" w:rsidR="009D410B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B">
        <w:rPr>
          <w:rFonts w:ascii="Times New Roman" w:hAnsi="Times New Roman" w:cs="Times New Roman"/>
          <w:sz w:val="28"/>
          <w:szCs w:val="28"/>
        </w:rPr>
        <w:t xml:space="preserve">Напоминаем, что с 1 марта 2025 года </w:t>
      </w:r>
      <w:r>
        <w:rPr>
          <w:rFonts w:ascii="Times New Roman" w:hAnsi="Times New Roman" w:cs="Times New Roman"/>
          <w:sz w:val="28"/>
          <w:szCs w:val="28"/>
        </w:rPr>
        <w:t>такие договоры</w:t>
      </w:r>
      <w:r w:rsidRPr="009D410B">
        <w:rPr>
          <w:rFonts w:ascii="Times New Roman" w:hAnsi="Times New Roman" w:cs="Times New Roman"/>
          <w:sz w:val="28"/>
          <w:szCs w:val="28"/>
        </w:rPr>
        <w:t xml:space="preserve">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</w:r>
    </w:p>
    <w:p w14:paraId="7AF31ED5" w14:textId="77777777" w:rsidR="009D410B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23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10B">
        <w:rPr>
          <w:rFonts w:ascii="Times New Roman" w:hAnsi="Times New Roman" w:cs="Times New Roman"/>
          <w:sz w:val="28"/>
          <w:szCs w:val="28"/>
        </w:rPr>
        <w:t>после подписания передаточного акта застройщик самостоятельно направляет в Росреестр заявления и документы для государственной регистрации права собственности участника долевого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- также</w:t>
      </w:r>
      <w:r w:rsidRPr="009D410B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форме.</w:t>
      </w:r>
    </w:p>
    <w:p w14:paraId="5BF2D6C0" w14:textId="77777777" w:rsidR="008B66F2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7B">
        <w:rPr>
          <w:rFonts w:ascii="Times New Roman" w:hAnsi="Times New Roman" w:cs="Times New Roman"/>
          <w:i/>
          <w:sz w:val="28"/>
          <w:szCs w:val="28"/>
        </w:rPr>
        <w:t>«Электронный формат взаимодействия застройщиков с регистрирующим органом является обязательным. 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недвижимости»,</w:t>
      </w:r>
      <w:r w:rsidRPr="009D410B">
        <w:rPr>
          <w:rFonts w:ascii="Times New Roman" w:hAnsi="Times New Roman" w:cs="Times New Roman"/>
          <w:sz w:val="28"/>
          <w:szCs w:val="28"/>
        </w:rPr>
        <w:t xml:space="preserve"> </w:t>
      </w:r>
      <w:r w:rsidR="008B66F2" w:rsidRPr="009D410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сообщил </w:t>
      </w:r>
      <w:r w:rsidR="00195C7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заместитель</w:t>
      </w:r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руководителя Управления Росреестра по Курской области </w:t>
      </w:r>
      <w:r w:rsidR="008B66F2" w:rsidRPr="009D410B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</w:t>
      </w:r>
      <w:r w:rsidR="008B66F2" w:rsidRPr="005B1B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.</w:t>
      </w:r>
    </w:p>
    <w:sectPr w:rsidR="008B66F2" w:rsidRPr="009D410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781669">
    <w:abstractNumId w:val="0"/>
  </w:num>
  <w:num w:numId="2" w16cid:durableId="142838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B2FB8"/>
    <w:rsid w:val="001F0982"/>
    <w:rsid w:val="002062E8"/>
    <w:rsid w:val="0020649E"/>
    <w:rsid w:val="00233913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20A6D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5A74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319FE-ED23-4D1E-8BFD-21470BBE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2025-03-04T07:37:00Z</cp:lastPrinted>
  <dcterms:created xsi:type="dcterms:W3CDTF">2025-04-09T11:27:00Z</dcterms:created>
  <dcterms:modified xsi:type="dcterms:W3CDTF">2025-04-09T11:27:00Z</dcterms:modified>
</cp:coreProperties>
</file>